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200" w:lineRule="atLeast"/>
        <w:jc w:val="center"/>
        <w:rPr>
          <w:b/>
          <w:bCs/>
          <w:color w:val="auto"/>
          <w:sz w:val="52"/>
          <w:szCs w:val="52"/>
          <w:highlight w:val="none"/>
        </w:rPr>
      </w:pPr>
      <w:r>
        <w:rPr>
          <w:rFonts w:hint="eastAsia"/>
          <w:b/>
          <w:bCs/>
          <w:color w:val="auto"/>
          <w:sz w:val="48"/>
          <w:szCs w:val="48"/>
          <w:highlight w:val="none"/>
          <w:lang w:eastAsia="zh-CN"/>
        </w:rPr>
        <w:t>中山市坦洲镇政府大院发电机购置安装项目</w:t>
      </w:r>
    </w:p>
    <w:p>
      <w:pPr>
        <w:pStyle w:val="53"/>
        <w:ind w:firstLine="723"/>
        <w:rPr>
          <w:b/>
          <w:bCs/>
          <w:color w:val="auto"/>
          <w:sz w:val="72"/>
          <w:szCs w:val="72"/>
          <w:highlight w:val="none"/>
        </w:rPr>
      </w:pPr>
    </w:p>
    <w:p>
      <w:pPr>
        <w:pStyle w:val="53"/>
        <w:ind w:firstLine="723"/>
        <w:rPr>
          <w:b/>
          <w:bCs/>
          <w:color w:val="auto"/>
          <w:sz w:val="72"/>
          <w:szCs w:val="72"/>
          <w:highlight w:val="none"/>
        </w:rPr>
      </w:pPr>
      <w:r>
        <w:rPr>
          <w:rFonts w:hint="eastAsia"/>
          <w:b/>
          <w:bCs/>
          <w:color w:val="auto"/>
          <w:sz w:val="72"/>
          <w:szCs w:val="72"/>
          <w:highlight w:val="none"/>
        </w:rPr>
        <w:t xml:space="preserve"> </w:t>
      </w:r>
    </w:p>
    <w:p>
      <w:pPr>
        <w:tabs>
          <w:tab w:val="left" w:pos="420"/>
          <w:tab w:val="left" w:pos="6660"/>
        </w:tabs>
        <w:spacing w:line="1600" w:lineRule="atLeast"/>
        <w:ind w:hanging="179"/>
        <w:jc w:val="center"/>
        <w:rPr>
          <w:b/>
          <w:color w:val="auto"/>
          <w:sz w:val="72"/>
          <w:szCs w:val="72"/>
          <w:highlight w:val="none"/>
        </w:rPr>
      </w:pPr>
      <w:r>
        <w:rPr>
          <w:rFonts w:hint="eastAsia"/>
          <w:b/>
          <w:color w:val="auto"/>
          <w:sz w:val="72"/>
          <w:szCs w:val="72"/>
          <w:highlight w:val="none"/>
        </w:rPr>
        <w:t>公开招标文件</w:t>
      </w:r>
    </w:p>
    <w:p>
      <w:pPr>
        <w:spacing w:line="460" w:lineRule="exact"/>
        <w:ind w:firstLine="2380" w:firstLineChars="494"/>
        <w:rPr>
          <w:b/>
          <w:bCs/>
          <w:color w:val="auto"/>
          <w:sz w:val="48"/>
          <w:szCs w:val="48"/>
          <w:highlight w:val="none"/>
        </w:rPr>
      </w:pPr>
    </w:p>
    <w:p>
      <w:pPr>
        <w:spacing w:line="360" w:lineRule="auto"/>
        <w:jc w:val="center"/>
        <w:rPr>
          <w:b/>
          <w:color w:val="auto"/>
          <w:sz w:val="30"/>
          <w:szCs w:val="30"/>
          <w:highlight w:val="none"/>
        </w:rPr>
      </w:pPr>
      <w:r>
        <w:rPr>
          <w:rFonts w:hint="eastAsia"/>
          <w:b/>
          <w:bCs/>
          <w:color w:val="auto"/>
          <w:sz w:val="30"/>
          <w:szCs w:val="30"/>
          <w:highlight w:val="none"/>
        </w:rPr>
        <w:t>（项目编号：</w:t>
      </w:r>
      <w:r>
        <w:rPr>
          <w:rFonts w:hint="eastAsia" w:cs="宋体"/>
          <w:b/>
          <w:bCs/>
          <w:sz w:val="36"/>
          <w:szCs w:val="22"/>
        </w:rPr>
        <w:t>ZSJYJZ0</w:t>
      </w:r>
      <w:r>
        <w:rPr>
          <w:rFonts w:hint="eastAsia" w:cs="宋体"/>
          <w:b/>
          <w:bCs/>
          <w:sz w:val="36"/>
          <w:szCs w:val="22"/>
          <w:lang w:val="en-US" w:eastAsia="zh-CN"/>
        </w:rPr>
        <w:t>12</w:t>
      </w:r>
      <w:r>
        <w:rPr>
          <w:rFonts w:hint="eastAsia"/>
          <w:b/>
          <w:color w:val="auto"/>
          <w:sz w:val="30"/>
          <w:szCs w:val="30"/>
          <w:highlight w:val="none"/>
        </w:rPr>
        <w:t>）</w:t>
      </w:r>
    </w:p>
    <w:p>
      <w:pPr>
        <w:spacing w:line="360" w:lineRule="auto"/>
        <w:ind w:firstLine="1785" w:firstLineChars="494"/>
        <w:rPr>
          <w:b/>
          <w:color w:val="auto"/>
          <w:sz w:val="36"/>
          <w:szCs w:val="36"/>
          <w:highlight w:val="none"/>
          <w:u w:val="single"/>
        </w:rPr>
      </w:pPr>
      <w:r>
        <w:rPr>
          <w:rFonts w:hint="eastAsia"/>
          <w:b/>
          <w:color w:val="auto"/>
          <w:sz w:val="36"/>
          <w:szCs w:val="36"/>
          <w:highlight w:val="none"/>
        </w:rPr>
        <w:t xml:space="preserve"> </w:t>
      </w:r>
    </w:p>
    <w:p>
      <w:pPr>
        <w:spacing w:line="360" w:lineRule="auto"/>
        <w:jc w:val="center"/>
        <w:rPr>
          <w:b/>
          <w:bCs/>
          <w:color w:val="auto"/>
          <w:sz w:val="32"/>
          <w:szCs w:val="32"/>
          <w:highlight w:val="none"/>
        </w:rPr>
      </w:pPr>
    </w:p>
    <w:p>
      <w:pPr>
        <w:spacing w:line="360" w:lineRule="auto"/>
        <w:jc w:val="center"/>
        <w:rPr>
          <w:b/>
          <w:bCs/>
          <w:color w:val="auto"/>
          <w:sz w:val="32"/>
          <w:szCs w:val="32"/>
          <w:highlight w:val="none"/>
        </w:rPr>
      </w:pPr>
    </w:p>
    <w:p>
      <w:pPr>
        <w:spacing w:line="360" w:lineRule="auto"/>
        <w:jc w:val="center"/>
        <w:rPr>
          <w:b/>
          <w:bCs/>
          <w:color w:val="auto"/>
          <w:sz w:val="32"/>
          <w:szCs w:val="32"/>
          <w:highlight w:val="none"/>
        </w:rPr>
      </w:pPr>
    </w:p>
    <w:p>
      <w:pPr>
        <w:spacing w:line="360" w:lineRule="auto"/>
        <w:jc w:val="center"/>
        <w:rPr>
          <w:b/>
          <w:bCs/>
          <w:color w:val="auto"/>
          <w:sz w:val="32"/>
          <w:szCs w:val="32"/>
          <w:highlight w:val="none"/>
        </w:rPr>
      </w:pPr>
    </w:p>
    <w:p>
      <w:pPr>
        <w:pStyle w:val="53"/>
        <w:rPr>
          <w:b/>
          <w:bCs/>
          <w:color w:val="auto"/>
          <w:sz w:val="32"/>
          <w:szCs w:val="32"/>
          <w:highlight w:val="none"/>
        </w:rPr>
      </w:pPr>
    </w:p>
    <w:p/>
    <w:p>
      <w:pPr>
        <w:pStyle w:val="53"/>
      </w:pPr>
    </w:p>
    <w:p/>
    <w:p>
      <w:pPr>
        <w:spacing w:line="360" w:lineRule="auto"/>
        <w:jc w:val="center"/>
        <w:rPr>
          <w:b/>
          <w:bCs/>
          <w:color w:val="auto"/>
          <w:sz w:val="32"/>
          <w:szCs w:val="32"/>
          <w:highlight w:val="none"/>
        </w:rPr>
      </w:pPr>
    </w:p>
    <w:p>
      <w:pPr>
        <w:pStyle w:val="29"/>
        <w:spacing w:line="480" w:lineRule="auto"/>
        <w:jc w:val="center"/>
        <w:rPr>
          <w:rFonts w:hint="eastAsia" w:asciiTheme="minorEastAsia" w:hAnsiTheme="minorEastAsia" w:eastAsiaTheme="minorEastAsia" w:cstheme="minorEastAsia"/>
          <w:b/>
          <w:bCs w:val="0"/>
          <w:sz w:val="32"/>
          <w:szCs w:val="32"/>
          <w:lang w:eastAsia="zh-CN"/>
        </w:rPr>
      </w:pPr>
      <w:r>
        <w:rPr>
          <w:rFonts w:hint="eastAsia" w:asciiTheme="minorEastAsia" w:hAnsiTheme="minorEastAsia" w:eastAsiaTheme="minorEastAsia" w:cstheme="minorEastAsia"/>
          <w:b/>
          <w:bCs w:val="0"/>
          <w:sz w:val="32"/>
          <w:szCs w:val="32"/>
          <w:lang w:eastAsia="zh-CN"/>
        </w:rPr>
        <w:t>中山市建业建筑工程监理有限公司</w:t>
      </w:r>
    </w:p>
    <w:p>
      <w:pPr>
        <w:spacing w:line="360" w:lineRule="auto"/>
        <w:jc w:val="center"/>
        <w:rPr>
          <w:b/>
          <w:bCs/>
          <w:color w:val="auto"/>
          <w:sz w:val="32"/>
          <w:szCs w:val="32"/>
          <w:highlight w:val="none"/>
        </w:rPr>
      </w:pPr>
      <w:r>
        <w:rPr>
          <w:rFonts w:hint="eastAsia" w:asciiTheme="minorEastAsia" w:hAnsiTheme="minorEastAsia" w:eastAsiaTheme="minorEastAsia" w:cstheme="minorEastAsia"/>
          <w:b/>
          <w:bCs w:val="0"/>
          <w:sz w:val="32"/>
          <w:szCs w:val="32"/>
        </w:rPr>
        <w:t>二〇一九年</w:t>
      </w:r>
      <w:r>
        <w:rPr>
          <w:rFonts w:hint="eastAsia" w:asciiTheme="minorEastAsia" w:hAnsiTheme="minorEastAsia" w:eastAsiaTheme="minorEastAsia" w:cstheme="minorEastAsia"/>
          <w:b/>
          <w:bCs w:val="0"/>
          <w:sz w:val="32"/>
          <w:szCs w:val="32"/>
          <w:lang w:eastAsia="zh-CN"/>
        </w:rPr>
        <w:t>八</w:t>
      </w:r>
      <w:r>
        <w:rPr>
          <w:rFonts w:hint="eastAsia" w:asciiTheme="minorEastAsia" w:hAnsiTheme="minorEastAsia" w:eastAsiaTheme="minorEastAsia" w:cstheme="minorEastAsia"/>
          <w:b/>
          <w:bCs w:val="0"/>
          <w:sz w:val="32"/>
          <w:szCs w:val="32"/>
        </w:rPr>
        <w:t>月</w:t>
      </w:r>
    </w:p>
    <w:p>
      <w:pPr>
        <w:spacing w:after="120" w:afterLines="50" w:line="360" w:lineRule="auto"/>
        <w:jc w:val="center"/>
        <w:rPr>
          <w:rFonts w:ascii="宋体" w:cs="宋体"/>
          <w:b/>
          <w:color w:val="auto"/>
          <w:sz w:val="32"/>
          <w:szCs w:val="32"/>
          <w:highlight w:val="none"/>
        </w:rPr>
      </w:pPr>
    </w:p>
    <w:p>
      <w:pPr>
        <w:tabs>
          <w:tab w:val="left" w:pos="709"/>
        </w:tabs>
        <w:spacing w:line="560" w:lineRule="exact"/>
        <w:ind w:firstLine="482" w:firstLineChars="200"/>
        <w:rPr>
          <w:rFonts w:ascii="宋体" w:cs="宋体"/>
          <w:b/>
          <w:color w:val="auto"/>
          <w:sz w:val="24"/>
          <w:szCs w:val="24"/>
          <w:highlight w:val="none"/>
        </w:rPr>
      </w:pPr>
    </w:p>
    <w:p>
      <w:pPr>
        <w:tabs>
          <w:tab w:val="left" w:pos="709"/>
        </w:tabs>
        <w:spacing w:line="360" w:lineRule="auto"/>
        <w:ind w:firstLine="422" w:firstLineChars="200"/>
        <w:rPr>
          <w:rFonts w:ascii="宋体" w:cs="宋体"/>
          <w:b/>
          <w:color w:val="auto"/>
          <w:szCs w:val="21"/>
          <w:highlight w:val="none"/>
        </w:rPr>
      </w:pPr>
    </w:p>
    <w:p>
      <w:pPr>
        <w:spacing w:line="360" w:lineRule="auto"/>
        <w:jc w:val="center"/>
        <w:rPr>
          <w:rFonts w:ascii="黑体" w:hAnsi="黑体" w:eastAsia="黑体" w:cs="宋体"/>
          <w:b/>
          <w:color w:val="auto"/>
          <w:spacing w:val="200"/>
          <w:sz w:val="40"/>
          <w:szCs w:val="36"/>
          <w:highlight w:val="none"/>
        </w:rPr>
      </w:pPr>
      <w:r>
        <w:rPr>
          <w:rFonts w:hint="eastAsia" w:ascii="黑体" w:hAnsi="黑体" w:eastAsia="黑体" w:cs="宋体"/>
          <w:b/>
          <w:color w:val="auto"/>
          <w:spacing w:val="200"/>
          <w:sz w:val="40"/>
          <w:szCs w:val="36"/>
          <w:highlight w:val="none"/>
        </w:rPr>
        <w:t>目录</w:t>
      </w:r>
    </w:p>
    <w:p>
      <w:pPr>
        <w:spacing w:line="360" w:lineRule="auto"/>
        <w:jc w:val="center"/>
        <w:rPr>
          <w:rFonts w:ascii="黑体" w:hAnsi="黑体" w:eastAsia="黑体" w:cs="宋体"/>
          <w:b/>
          <w:color w:val="auto"/>
          <w:spacing w:val="200"/>
          <w:szCs w:val="21"/>
          <w:highlight w:val="none"/>
        </w:rPr>
      </w:pPr>
    </w:p>
    <w:p>
      <w:pPr>
        <w:pStyle w:val="46"/>
        <w:rPr>
          <w:rFonts w:ascii="Calibri" w:hAnsi="Calibri"/>
          <w:color w:val="auto"/>
          <w:kern w:val="2"/>
          <w:sz w:val="22"/>
          <w:szCs w:val="22"/>
          <w:highlight w:val="none"/>
        </w:rPr>
      </w:pPr>
      <w:bookmarkStart w:id="0" w:name="_Toc527295591"/>
      <w:r>
        <w:rPr>
          <w:rFonts w:ascii="黑体" w:hAnsi="黑体" w:eastAsia="黑体" w:cs="宋体"/>
          <w:color w:val="auto"/>
          <w:sz w:val="32"/>
          <w:szCs w:val="28"/>
          <w:highlight w:val="none"/>
        </w:rPr>
        <w:fldChar w:fldCharType="begin"/>
      </w:r>
      <w:r>
        <w:rPr>
          <w:rFonts w:ascii="黑体" w:hAnsi="黑体" w:eastAsia="黑体" w:cs="宋体"/>
          <w:color w:val="auto"/>
          <w:sz w:val="32"/>
          <w:szCs w:val="28"/>
          <w:highlight w:val="none"/>
        </w:rPr>
        <w:instrText xml:space="preserve"> TOC \h \z \t "</w:instrText>
      </w:r>
      <w:r>
        <w:rPr>
          <w:rFonts w:hint="eastAsia" w:ascii="黑体" w:hAnsi="黑体" w:eastAsia="黑体" w:cs="宋体"/>
          <w:color w:val="auto"/>
          <w:sz w:val="32"/>
          <w:szCs w:val="28"/>
          <w:highlight w:val="none"/>
        </w:rPr>
        <w:instrText xml:space="preserve">标题</w:instrText>
      </w:r>
      <w:r>
        <w:rPr>
          <w:rFonts w:ascii="黑体" w:hAnsi="黑体" w:eastAsia="黑体" w:cs="宋体"/>
          <w:color w:val="auto"/>
          <w:sz w:val="32"/>
          <w:szCs w:val="28"/>
          <w:highlight w:val="none"/>
        </w:rPr>
        <w:instrText xml:space="preserve"> 1,2,</w:instrText>
      </w:r>
      <w:r>
        <w:rPr>
          <w:rFonts w:hint="eastAsia" w:ascii="黑体" w:hAnsi="黑体" w:eastAsia="黑体" w:cs="宋体"/>
          <w:color w:val="auto"/>
          <w:sz w:val="32"/>
          <w:szCs w:val="28"/>
          <w:highlight w:val="none"/>
        </w:rPr>
        <w:instrText xml:space="preserve">标题</w:instrText>
      </w:r>
      <w:r>
        <w:rPr>
          <w:rFonts w:ascii="黑体" w:hAnsi="黑体" w:eastAsia="黑体" w:cs="宋体"/>
          <w:color w:val="auto"/>
          <w:sz w:val="32"/>
          <w:szCs w:val="28"/>
          <w:highlight w:val="none"/>
        </w:rPr>
        <w:instrText xml:space="preserve"> 2,3,</w:instrText>
      </w:r>
      <w:r>
        <w:rPr>
          <w:rFonts w:hint="eastAsia" w:ascii="黑体" w:hAnsi="黑体" w:eastAsia="黑体" w:cs="宋体"/>
          <w:color w:val="auto"/>
          <w:sz w:val="32"/>
          <w:szCs w:val="28"/>
          <w:highlight w:val="none"/>
        </w:rPr>
        <w:instrText xml:space="preserve">标题</w:instrText>
      </w:r>
      <w:r>
        <w:rPr>
          <w:rFonts w:ascii="黑体" w:hAnsi="黑体" w:eastAsia="黑体" w:cs="宋体"/>
          <w:color w:val="auto"/>
          <w:sz w:val="32"/>
          <w:szCs w:val="28"/>
          <w:highlight w:val="none"/>
        </w:rPr>
        <w:instrText xml:space="preserve"> 3,5,</w:instrText>
      </w:r>
      <w:r>
        <w:rPr>
          <w:rFonts w:hint="eastAsia" w:ascii="黑体" w:hAnsi="黑体" w:eastAsia="黑体" w:cs="宋体"/>
          <w:color w:val="auto"/>
          <w:sz w:val="32"/>
          <w:szCs w:val="28"/>
          <w:highlight w:val="none"/>
        </w:rPr>
        <w:instrText xml:space="preserve">标题</w:instrText>
      </w:r>
      <w:r>
        <w:rPr>
          <w:rFonts w:ascii="黑体" w:hAnsi="黑体" w:eastAsia="黑体" w:cs="宋体"/>
          <w:color w:val="auto"/>
          <w:sz w:val="32"/>
          <w:szCs w:val="28"/>
          <w:highlight w:val="none"/>
        </w:rPr>
        <w:instrText xml:space="preserve"> 3 + </w:instrText>
      </w:r>
      <w:r>
        <w:rPr>
          <w:rFonts w:hint="eastAsia" w:ascii="黑体" w:hAnsi="黑体" w:eastAsia="黑体" w:cs="宋体"/>
          <w:color w:val="auto"/>
          <w:sz w:val="32"/>
          <w:szCs w:val="28"/>
          <w:highlight w:val="none"/>
        </w:rPr>
        <w:instrText xml:space="preserve">宋体</w:instrText>
      </w:r>
      <w:r>
        <w:rPr>
          <w:rFonts w:ascii="黑体" w:hAnsi="黑体" w:eastAsia="黑体" w:cs="宋体"/>
          <w:color w:val="auto"/>
          <w:sz w:val="32"/>
          <w:szCs w:val="28"/>
          <w:highlight w:val="none"/>
        </w:rPr>
        <w:instrText xml:space="preserve">,4,</w:instrText>
      </w:r>
      <w:r>
        <w:rPr>
          <w:rFonts w:hint="eastAsia" w:ascii="黑体" w:hAnsi="黑体" w:eastAsia="黑体" w:cs="宋体"/>
          <w:color w:val="auto"/>
          <w:sz w:val="32"/>
          <w:szCs w:val="28"/>
          <w:highlight w:val="none"/>
        </w:rPr>
        <w:instrText xml:space="preserve">标题</w:instrText>
      </w:r>
      <w:r>
        <w:rPr>
          <w:rFonts w:ascii="黑体" w:hAnsi="黑体" w:eastAsia="黑体" w:cs="宋体"/>
          <w:color w:val="auto"/>
          <w:sz w:val="32"/>
          <w:szCs w:val="28"/>
          <w:highlight w:val="none"/>
        </w:rPr>
        <w:instrText xml:space="preserve">1,1"</w:instrText>
      </w:r>
      <w:r>
        <w:rPr>
          <w:rFonts w:ascii="黑体" w:hAnsi="黑体" w:eastAsia="黑体" w:cs="宋体"/>
          <w:color w:val="auto"/>
          <w:sz w:val="32"/>
          <w:szCs w:val="28"/>
          <w:highlight w:val="none"/>
        </w:rPr>
        <w:fldChar w:fldCharType="separate"/>
      </w:r>
      <w:r>
        <w:rPr>
          <w:color w:val="auto"/>
          <w:highlight w:val="none"/>
        </w:rPr>
        <w:fldChar w:fldCharType="begin"/>
      </w:r>
      <w:r>
        <w:rPr>
          <w:color w:val="auto"/>
          <w:highlight w:val="none"/>
        </w:rPr>
        <w:instrText xml:space="preserve"> HYPERLINK "file:///D:\\项目\\广东中山\\中山市公安局网络安全（IDC）态势感知平台采购项目招标文件v1-0916.doc" \l "_Toc489282795" </w:instrText>
      </w:r>
      <w:r>
        <w:rPr>
          <w:color w:val="auto"/>
          <w:highlight w:val="none"/>
        </w:rPr>
        <w:fldChar w:fldCharType="separate"/>
      </w:r>
      <w:r>
        <w:rPr>
          <w:rStyle w:val="62"/>
          <w:rFonts w:hint="eastAsia" w:ascii="黑体" w:hAnsi="黑体" w:eastAsia="黑体" w:cs="宋体"/>
          <w:bCs/>
          <w:color w:val="auto"/>
          <w:sz w:val="28"/>
          <w:highlight w:val="none"/>
          <w:lang w:val="zh-CN"/>
        </w:rPr>
        <w:t>第一部分投标邀请函</w:t>
      </w:r>
      <w:r>
        <w:rPr>
          <w:rStyle w:val="62"/>
          <w:color w:val="auto"/>
          <w:sz w:val="28"/>
          <w:highlight w:val="none"/>
        </w:rPr>
        <w:tab/>
      </w:r>
      <w:r>
        <w:rPr>
          <w:rStyle w:val="62"/>
          <w:color w:val="auto"/>
          <w:sz w:val="28"/>
          <w:highlight w:val="none"/>
        </w:rPr>
        <w:fldChar w:fldCharType="begin"/>
      </w:r>
      <w:r>
        <w:rPr>
          <w:rStyle w:val="62"/>
          <w:color w:val="auto"/>
          <w:sz w:val="28"/>
          <w:highlight w:val="none"/>
        </w:rPr>
        <w:instrText xml:space="preserve"> PAGEREF _Toc489282795 \h </w:instrText>
      </w:r>
      <w:r>
        <w:rPr>
          <w:rStyle w:val="62"/>
          <w:color w:val="auto"/>
          <w:sz w:val="28"/>
          <w:highlight w:val="none"/>
        </w:rPr>
        <w:fldChar w:fldCharType="separate"/>
      </w:r>
      <w:r>
        <w:rPr>
          <w:rStyle w:val="62"/>
          <w:color w:val="auto"/>
          <w:sz w:val="28"/>
          <w:highlight w:val="none"/>
        </w:rPr>
        <w:t>3</w:t>
      </w:r>
      <w:r>
        <w:rPr>
          <w:rStyle w:val="62"/>
          <w:color w:val="auto"/>
          <w:sz w:val="28"/>
          <w:highlight w:val="none"/>
        </w:rPr>
        <w:fldChar w:fldCharType="end"/>
      </w:r>
      <w:r>
        <w:rPr>
          <w:rStyle w:val="62"/>
          <w:color w:val="auto"/>
          <w:sz w:val="28"/>
          <w:highlight w:val="none"/>
        </w:rPr>
        <w:fldChar w:fldCharType="end"/>
      </w:r>
    </w:p>
    <w:p>
      <w:pPr>
        <w:pStyle w:val="46"/>
        <w:rPr>
          <w:rFonts w:ascii="Calibri" w:hAnsi="Calibri"/>
          <w:color w:val="auto"/>
          <w:kern w:val="2"/>
          <w:sz w:val="22"/>
          <w:szCs w:val="22"/>
          <w:highlight w:val="none"/>
        </w:rPr>
      </w:pPr>
      <w:r>
        <w:rPr>
          <w:color w:val="auto"/>
          <w:highlight w:val="none"/>
        </w:rPr>
        <w:fldChar w:fldCharType="begin"/>
      </w:r>
      <w:r>
        <w:rPr>
          <w:color w:val="auto"/>
          <w:highlight w:val="none"/>
        </w:rPr>
        <w:instrText xml:space="preserve"> HYPERLINK "file:///D:\\项目\\广东中山\\中山市公安局网络安全（IDC）态势感知平台采购项目招标文件v1-0916.doc" \l "_Toc489282796" </w:instrText>
      </w:r>
      <w:r>
        <w:rPr>
          <w:color w:val="auto"/>
          <w:highlight w:val="none"/>
        </w:rPr>
        <w:fldChar w:fldCharType="separate"/>
      </w:r>
      <w:r>
        <w:rPr>
          <w:rStyle w:val="62"/>
          <w:rFonts w:hint="eastAsia" w:ascii="黑体" w:hAnsi="黑体" w:eastAsia="黑体" w:cs="宋体"/>
          <w:bCs/>
          <w:color w:val="auto"/>
          <w:sz w:val="28"/>
          <w:highlight w:val="none"/>
          <w:lang w:val="zh-CN"/>
        </w:rPr>
        <w:t>第二部分用户需求书</w:t>
      </w:r>
      <w:r>
        <w:rPr>
          <w:rStyle w:val="62"/>
          <w:color w:val="auto"/>
          <w:sz w:val="28"/>
          <w:highlight w:val="none"/>
        </w:rPr>
        <w:tab/>
      </w:r>
      <w:r>
        <w:rPr>
          <w:rStyle w:val="62"/>
          <w:color w:val="auto"/>
          <w:sz w:val="28"/>
          <w:highlight w:val="none"/>
        </w:rPr>
        <w:fldChar w:fldCharType="begin"/>
      </w:r>
      <w:r>
        <w:rPr>
          <w:rStyle w:val="62"/>
          <w:color w:val="auto"/>
          <w:sz w:val="28"/>
          <w:highlight w:val="none"/>
        </w:rPr>
        <w:instrText xml:space="preserve"> PAGEREF _Toc489282796 \h </w:instrText>
      </w:r>
      <w:r>
        <w:rPr>
          <w:rStyle w:val="62"/>
          <w:color w:val="auto"/>
          <w:sz w:val="28"/>
          <w:highlight w:val="none"/>
        </w:rPr>
        <w:fldChar w:fldCharType="separate"/>
      </w:r>
      <w:r>
        <w:rPr>
          <w:rStyle w:val="62"/>
          <w:color w:val="auto"/>
          <w:sz w:val="28"/>
          <w:highlight w:val="none"/>
        </w:rPr>
        <w:t>7</w:t>
      </w:r>
      <w:r>
        <w:rPr>
          <w:rStyle w:val="62"/>
          <w:color w:val="auto"/>
          <w:sz w:val="28"/>
          <w:highlight w:val="none"/>
        </w:rPr>
        <w:fldChar w:fldCharType="end"/>
      </w:r>
      <w:r>
        <w:rPr>
          <w:rStyle w:val="62"/>
          <w:color w:val="auto"/>
          <w:sz w:val="28"/>
          <w:highlight w:val="none"/>
        </w:rPr>
        <w:fldChar w:fldCharType="end"/>
      </w:r>
    </w:p>
    <w:p>
      <w:pPr>
        <w:pStyle w:val="46"/>
        <w:rPr>
          <w:rFonts w:hint="eastAsia" w:ascii="Calibri" w:hAnsi="Calibri" w:eastAsia="宋体"/>
          <w:color w:val="auto"/>
          <w:kern w:val="2"/>
          <w:sz w:val="22"/>
          <w:szCs w:val="22"/>
          <w:highlight w:val="none"/>
          <w:lang w:val="en-US" w:eastAsia="zh-CN"/>
        </w:rPr>
      </w:pPr>
      <w:r>
        <w:rPr>
          <w:color w:val="auto"/>
          <w:highlight w:val="none"/>
        </w:rPr>
        <w:fldChar w:fldCharType="begin"/>
      </w:r>
      <w:r>
        <w:rPr>
          <w:color w:val="auto"/>
          <w:highlight w:val="none"/>
        </w:rPr>
        <w:instrText xml:space="preserve"> HYPERLINK "file:///D:\\项目\\广东中山\\中山市公安局网络安全（IDC）态势感知平台采购项目招标文件v1-0916.doc" \l "_Toc489282797" </w:instrText>
      </w:r>
      <w:r>
        <w:rPr>
          <w:color w:val="auto"/>
          <w:highlight w:val="none"/>
        </w:rPr>
        <w:fldChar w:fldCharType="separate"/>
      </w:r>
      <w:r>
        <w:rPr>
          <w:rStyle w:val="62"/>
          <w:rFonts w:hint="eastAsia" w:ascii="黑体" w:hAnsi="黑体" w:eastAsia="黑体" w:cs="宋体"/>
          <w:bCs/>
          <w:color w:val="auto"/>
          <w:sz w:val="28"/>
          <w:highlight w:val="none"/>
          <w:lang w:val="zh-CN"/>
        </w:rPr>
        <w:t>第三部分投标人须知</w:t>
      </w:r>
      <w:r>
        <w:rPr>
          <w:rStyle w:val="62"/>
          <w:color w:val="auto"/>
          <w:sz w:val="28"/>
          <w:highlight w:val="none"/>
        </w:rPr>
        <w:tab/>
      </w:r>
      <w:r>
        <w:rPr>
          <w:rStyle w:val="62"/>
          <w:rFonts w:hint="eastAsia"/>
          <w:color w:val="auto"/>
          <w:sz w:val="28"/>
          <w:highlight w:val="none"/>
        </w:rPr>
        <w:fldChar w:fldCharType="end"/>
      </w:r>
      <w:r>
        <w:rPr>
          <w:rStyle w:val="62"/>
          <w:rFonts w:hint="eastAsia"/>
          <w:color w:val="auto"/>
          <w:sz w:val="28"/>
          <w:highlight w:val="none"/>
          <w:lang w:val="en-US" w:eastAsia="zh-CN"/>
        </w:rPr>
        <w:t>18</w:t>
      </w:r>
    </w:p>
    <w:p>
      <w:pPr>
        <w:pStyle w:val="46"/>
        <w:rPr>
          <w:rFonts w:hint="eastAsia" w:ascii="Calibri" w:hAnsi="Calibri" w:eastAsia="宋体"/>
          <w:color w:val="auto"/>
          <w:kern w:val="2"/>
          <w:sz w:val="22"/>
          <w:szCs w:val="22"/>
          <w:highlight w:val="none"/>
          <w:lang w:val="en-US" w:eastAsia="zh-CN"/>
        </w:rPr>
      </w:pPr>
      <w:r>
        <w:rPr>
          <w:color w:val="auto"/>
          <w:highlight w:val="none"/>
        </w:rPr>
        <w:fldChar w:fldCharType="begin"/>
      </w:r>
      <w:r>
        <w:rPr>
          <w:color w:val="auto"/>
          <w:highlight w:val="none"/>
        </w:rPr>
        <w:instrText xml:space="preserve"> HYPERLINK "file:///D:\\项目\\广东中山\\中山市公安局网络安全（IDC）态势感知平台采购项目招标文件v1-0916.doc" \l "_Toc489282798" </w:instrText>
      </w:r>
      <w:r>
        <w:rPr>
          <w:color w:val="auto"/>
          <w:highlight w:val="none"/>
        </w:rPr>
        <w:fldChar w:fldCharType="separate"/>
      </w:r>
      <w:r>
        <w:rPr>
          <w:rStyle w:val="62"/>
          <w:rFonts w:hint="eastAsia" w:ascii="黑体" w:hAnsi="黑体" w:eastAsia="黑体" w:cs="宋体"/>
          <w:bCs/>
          <w:color w:val="auto"/>
          <w:sz w:val="28"/>
          <w:highlight w:val="none"/>
          <w:lang w:val="zh-CN"/>
        </w:rPr>
        <w:t>第四部分开标、评标和定标</w:t>
      </w:r>
      <w:r>
        <w:rPr>
          <w:rStyle w:val="62"/>
          <w:color w:val="auto"/>
          <w:sz w:val="28"/>
          <w:highlight w:val="none"/>
        </w:rPr>
        <w:tab/>
      </w:r>
      <w:r>
        <w:rPr>
          <w:rStyle w:val="62"/>
          <w:rFonts w:hint="eastAsia"/>
          <w:color w:val="auto"/>
          <w:sz w:val="28"/>
          <w:highlight w:val="none"/>
        </w:rPr>
        <w:fldChar w:fldCharType="end"/>
      </w:r>
      <w:r>
        <w:rPr>
          <w:rStyle w:val="62"/>
          <w:rFonts w:hint="eastAsia"/>
          <w:color w:val="auto"/>
          <w:sz w:val="28"/>
          <w:highlight w:val="none"/>
          <w:lang w:val="en-US" w:eastAsia="zh-CN"/>
        </w:rPr>
        <w:t>30</w:t>
      </w:r>
    </w:p>
    <w:p>
      <w:pPr>
        <w:pStyle w:val="46"/>
        <w:rPr>
          <w:rFonts w:hint="eastAsia" w:ascii="Calibri" w:hAnsi="Calibri" w:eastAsia="宋体"/>
          <w:color w:val="auto"/>
          <w:kern w:val="2"/>
          <w:sz w:val="22"/>
          <w:szCs w:val="22"/>
          <w:highlight w:val="none"/>
          <w:lang w:val="en-US" w:eastAsia="zh-CN"/>
        </w:rPr>
      </w:pPr>
      <w:r>
        <w:rPr>
          <w:color w:val="auto"/>
          <w:highlight w:val="none"/>
        </w:rPr>
        <w:fldChar w:fldCharType="begin"/>
      </w:r>
      <w:r>
        <w:rPr>
          <w:color w:val="auto"/>
          <w:highlight w:val="none"/>
        </w:rPr>
        <w:instrText xml:space="preserve"> HYPERLINK "file:///D:\\项目\\广东中山\\中山市公安局网络安全（IDC）态势感知平台采购项目招标文件v1-0916.doc" \l "_Toc489282799" </w:instrText>
      </w:r>
      <w:r>
        <w:rPr>
          <w:color w:val="auto"/>
          <w:highlight w:val="none"/>
        </w:rPr>
        <w:fldChar w:fldCharType="separate"/>
      </w:r>
      <w:r>
        <w:rPr>
          <w:rStyle w:val="62"/>
          <w:rFonts w:hint="eastAsia" w:ascii="黑体" w:hAnsi="黑体" w:eastAsia="黑体" w:cs="宋体"/>
          <w:bCs/>
          <w:color w:val="auto"/>
          <w:sz w:val="28"/>
          <w:highlight w:val="none"/>
          <w:lang w:val="zh-CN"/>
        </w:rPr>
        <w:t>第五部分合同书格式</w:t>
      </w:r>
      <w:r>
        <w:rPr>
          <w:rStyle w:val="62"/>
          <w:color w:val="auto"/>
          <w:sz w:val="28"/>
          <w:highlight w:val="none"/>
        </w:rPr>
        <w:tab/>
      </w:r>
      <w:r>
        <w:rPr>
          <w:rStyle w:val="62"/>
          <w:rFonts w:hint="eastAsia"/>
          <w:color w:val="auto"/>
          <w:sz w:val="28"/>
          <w:highlight w:val="none"/>
        </w:rPr>
        <w:fldChar w:fldCharType="end"/>
      </w:r>
      <w:r>
        <w:rPr>
          <w:rStyle w:val="62"/>
          <w:rFonts w:hint="eastAsia"/>
          <w:color w:val="auto"/>
          <w:sz w:val="28"/>
          <w:highlight w:val="none"/>
          <w:lang w:val="en-US" w:eastAsia="zh-CN"/>
        </w:rPr>
        <w:t>40</w:t>
      </w:r>
    </w:p>
    <w:p>
      <w:pPr>
        <w:pStyle w:val="46"/>
        <w:rPr>
          <w:rFonts w:hint="eastAsia" w:ascii="Calibri" w:hAnsi="Calibri" w:eastAsia="宋体"/>
          <w:color w:val="auto"/>
          <w:kern w:val="2"/>
          <w:sz w:val="22"/>
          <w:szCs w:val="22"/>
          <w:highlight w:val="none"/>
          <w:lang w:val="en-US" w:eastAsia="zh-CN"/>
        </w:rPr>
      </w:pPr>
      <w:r>
        <w:rPr>
          <w:color w:val="auto"/>
          <w:highlight w:val="none"/>
        </w:rPr>
        <w:fldChar w:fldCharType="begin"/>
      </w:r>
      <w:r>
        <w:rPr>
          <w:color w:val="auto"/>
          <w:highlight w:val="none"/>
        </w:rPr>
        <w:instrText xml:space="preserve"> HYPERLINK "file:///D:\\项目\\广东中山\\中山市公安局网络安全（IDC）态势感知平台采购项目招标文件v1-0916.doc" \l "_Toc489282800" </w:instrText>
      </w:r>
      <w:r>
        <w:rPr>
          <w:color w:val="auto"/>
          <w:highlight w:val="none"/>
        </w:rPr>
        <w:fldChar w:fldCharType="separate"/>
      </w:r>
      <w:r>
        <w:rPr>
          <w:rStyle w:val="62"/>
          <w:rFonts w:hint="eastAsia" w:ascii="黑体" w:hAnsi="黑体" w:eastAsia="黑体" w:cs="宋体"/>
          <w:bCs/>
          <w:color w:val="auto"/>
          <w:sz w:val="28"/>
          <w:highlight w:val="none"/>
          <w:lang w:val="zh-CN"/>
        </w:rPr>
        <w:t>第六部分投标文件格式</w:t>
      </w:r>
      <w:r>
        <w:rPr>
          <w:rStyle w:val="62"/>
          <w:color w:val="auto"/>
          <w:sz w:val="28"/>
          <w:highlight w:val="none"/>
        </w:rPr>
        <w:tab/>
      </w:r>
      <w:r>
        <w:rPr>
          <w:rStyle w:val="62"/>
          <w:rFonts w:hint="eastAsia"/>
          <w:color w:val="auto"/>
          <w:sz w:val="28"/>
          <w:highlight w:val="none"/>
        </w:rPr>
        <w:fldChar w:fldCharType="end"/>
      </w:r>
      <w:r>
        <w:rPr>
          <w:rStyle w:val="62"/>
          <w:rFonts w:hint="eastAsia"/>
          <w:color w:val="auto"/>
          <w:sz w:val="28"/>
          <w:highlight w:val="none"/>
          <w:lang w:val="en-US" w:eastAsia="zh-CN"/>
        </w:rPr>
        <w:t>49</w:t>
      </w:r>
    </w:p>
    <w:p>
      <w:pPr>
        <w:spacing w:line="360" w:lineRule="auto"/>
        <w:jc w:val="center"/>
        <w:rPr>
          <w:rFonts w:ascii="黑体" w:hAnsi="黑体" w:eastAsia="黑体" w:cs="宋体"/>
          <w:bCs/>
          <w:color w:val="auto"/>
          <w:szCs w:val="21"/>
          <w:highlight w:val="none"/>
        </w:rPr>
      </w:pPr>
      <w:r>
        <w:rPr>
          <w:rFonts w:ascii="黑体" w:hAnsi="黑体" w:eastAsia="黑体" w:cs="宋体"/>
          <w:color w:val="auto"/>
          <w:sz w:val="32"/>
          <w:szCs w:val="28"/>
          <w:highlight w:val="none"/>
        </w:rPr>
        <w:fldChar w:fldCharType="end"/>
      </w:r>
      <w:bookmarkEnd w:id="0"/>
    </w:p>
    <w:p>
      <w:pPr>
        <w:spacing w:line="360" w:lineRule="auto"/>
        <w:rPr>
          <w:rFonts w:ascii="黑体" w:hAnsi="黑体" w:eastAsia="黑体" w:cs="宋体"/>
          <w:bCs/>
          <w:color w:val="auto"/>
          <w:szCs w:val="21"/>
          <w:highlight w:val="none"/>
        </w:rPr>
        <w:sectPr>
          <w:footerReference r:id="rId3" w:type="default"/>
          <w:pgSz w:w="11907" w:h="16840"/>
          <w:pgMar w:top="1418" w:right="1304" w:bottom="1418" w:left="1094" w:header="794" w:footer="794" w:gutter="0"/>
          <w:pgNumType w:start="1"/>
          <w:cols w:space="720" w:num="1"/>
        </w:sectPr>
      </w:pPr>
    </w:p>
    <w:p>
      <w:pPr>
        <w:spacing w:line="360" w:lineRule="auto"/>
        <w:jc w:val="center"/>
        <w:rPr>
          <w:rFonts w:ascii="黑体" w:hAnsi="黑体" w:eastAsia="黑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rPr>
          <w:rFonts w:ascii="宋体" w:cs="宋体"/>
          <w:b/>
          <w:color w:val="auto"/>
          <w:szCs w:val="21"/>
          <w:highlight w:val="none"/>
        </w:rPr>
        <w:sectPr>
          <w:type w:val="continuous"/>
          <w:pgSz w:w="11907" w:h="16840"/>
          <w:pgMar w:top="1418" w:right="1304" w:bottom="1361" w:left="1361" w:header="794" w:footer="907" w:gutter="0"/>
          <w:cols w:space="720" w:num="1"/>
        </w:sectPr>
      </w:pPr>
    </w:p>
    <w:p>
      <w:pPr>
        <w:spacing w:line="360" w:lineRule="auto"/>
        <w:jc w:val="center"/>
        <w:rPr>
          <w:rFonts w:ascii="宋体" w:cs="宋体"/>
          <w:b/>
          <w:color w:val="auto"/>
          <w:szCs w:val="21"/>
          <w:highlight w:val="none"/>
        </w:rPr>
      </w:pPr>
    </w:p>
    <w:p>
      <w:pPr>
        <w:spacing w:line="360" w:lineRule="auto"/>
        <w:rPr>
          <w:rFonts w:ascii="宋体" w:cs="宋体"/>
          <w:b/>
          <w:color w:val="auto"/>
          <w:szCs w:val="21"/>
          <w:highlight w:val="none"/>
        </w:rPr>
      </w:pPr>
    </w:p>
    <w:p>
      <w:pPr>
        <w:spacing w:line="360" w:lineRule="auto"/>
        <w:rPr>
          <w:rFonts w:ascii="宋体" w:cs="宋体"/>
          <w:b/>
          <w:color w:val="auto"/>
          <w:szCs w:val="21"/>
          <w:highlight w:val="none"/>
        </w:rPr>
      </w:pPr>
    </w:p>
    <w:p>
      <w:pPr>
        <w:spacing w:line="360" w:lineRule="auto"/>
        <w:rPr>
          <w:rFonts w:ascii="宋体" w:cs="宋体"/>
          <w:b/>
          <w:color w:val="auto"/>
          <w:szCs w:val="21"/>
          <w:highlight w:val="none"/>
        </w:rPr>
      </w:pPr>
    </w:p>
    <w:p>
      <w:pPr>
        <w:spacing w:line="360" w:lineRule="auto"/>
        <w:rPr>
          <w:rFonts w:ascii="宋体" w:cs="宋体"/>
          <w:b/>
          <w:color w:val="auto"/>
          <w:szCs w:val="21"/>
          <w:highlight w:val="none"/>
        </w:rPr>
      </w:pPr>
    </w:p>
    <w:p>
      <w:pPr>
        <w:spacing w:line="360" w:lineRule="auto"/>
        <w:rPr>
          <w:rFonts w:ascii="宋体" w:cs="宋体"/>
          <w:b/>
          <w:color w:val="auto"/>
          <w:szCs w:val="21"/>
          <w:highlight w:val="none"/>
        </w:rPr>
      </w:pPr>
    </w:p>
    <w:p>
      <w:pPr>
        <w:spacing w:line="360" w:lineRule="auto"/>
        <w:rPr>
          <w:rFonts w:ascii="宋体" w:cs="宋体"/>
          <w:b/>
          <w:color w:val="auto"/>
          <w:szCs w:val="21"/>
          <w:highlight w:val="none"/>
        </w:rPr>
      </w:pPr>
    </w:p>
    <w:p>
      <w:pPr>
        <w:pStyle w:val="53"/>
        <w:rPr>
          <w:rFonts w:ascii="宋体" w:cs="宋体"/>
          <w:b/>
          <w:color w:val="auto"/>
          <w:szCs w:val="21"/>
          <w:highlight w:val="none"/>
        </w:rPr>
      </w:pPr>
    </w:p>
    <w:p>
      <w:pPr>
        <w:rPr>
          <w:rFonts w:ascii="宋体" w:cs="宋体"/>
          <w:b/>
          <w:color w:val="auto"/>
          <w:szCs w:val="21"/>
          <w:highlight w:val="none"/>
        </w:rPr>
      </w:pPr>
    </w:p>
    <w:p>
      <w:pPr>
        <w:pStyle w:val="53"/>
      </w:pPr>
    </w:p>
    <w:p>
      <w:pPr>
        <w:spacing w:line="360" w:lineRule="auto"/>
        <w:rPr>
          <w:rFonts w:ascii="宋体" w:cs="宋体"/>
          <w:b/>
          <w:color w:val="auto"/>
          <w:szCs w:val="21"/>
          <w:highlight w:val="none"/>
        </w:rPr>
      </w:pPr>
    </w:p>
    <w:p>
      <w:pPr>
        <w:spacing w:line="360" w:lineRule="auto"/>
        <w:rPr>
          <w:rFonts w:ascii="宋体" w:cs="宋体"/>
          <w:b/>
          <w:color w:val="auto"/>
          <w:szCs w:val="21"/>
          <w:highlight w:val="none"/>
        </w:rPr>
      </w:pPr>
      <w:r>
        <w:rPr>
          <w:rFonts w:hint="eastAsia" w:ascii="宋体" w:cs="宋体"/>
          <w:b/>
          <w:color w:val="auto"/>
          <w:szCs w:val="21"/>
          <w:highlight w:val="none"/>
        </w:rPr>
        <w:t xml:space="preserve"> </w:t>
      </w:r>
    </w:p>
    <w:p>
      <w:pPr>
        <w:pStyle w:val="53"/>
        <w:ind w:firstLine="240"/>
        <w:rPr>
          <w:color w:val="auto"/>
          <w:highlight w:val="none"/>
        </w:rPr>
      </w:pPr>
    </w:p>
    <w:p>
      <w:pPr>
        <w:pStyle w:val="3"/>
        <w:jc w:val="center"/>
        <w:rPr>
          <w:rFonts w:ascii="黑体" w:hAnsi="黑体" w:eastAsia="黑体" w:cs="宋体"/>
          <w:bCs/>
          <w:color w:val="auto"/>
          <w:kern w:val="2"/>
          <w:sz w:val="44"/>
          <w:szCs w:val="44"/>
          <w:highlight w:val="none"/>
          <w:lang w:val="zh-CN"/>
        </w:rPr>
      </w:pPr>
      <w:bookmarkStart w:id="1" w:name="_Toc489282795"/>
      <w:r>
        <w:rPr>
          <w:rFonts w:hint="eastAsia" w:ascii="黑体" w:hAnsi="黑体" w:eastAsia="黑体" w:cs="宋体"/>
          <w:bCs/>
          <w:color w:val="auto"/>
          <w:kern w:val="2"/>
          <w:sz w:val="44"/>
          <w:szCs w:val="44"/>
          <w:highlight w:val="none"/>
          <w:lang w:val="zh-CN"/>
        </w:rPr>
        <w:t>第一部分投标邀请函</w:t>
      </w:r>
      <w:bookmarkEnd w:id="1"/>
    </w:p>
    <w:p>
      <w:pPr>
        <w:adjustRightInd w:val="0"/>
        <w:snapToGrid w:val="0"/>
        <w:spacing w:line="360" w:lineRule="auto"/>
        <w:jc w:val="center"/>
        <w:rPr>
          <w:rFonts w:ascii="宋体" w:cs="宋体"/>
          <w:b/>
          <w:color w:val="auto"/>
          <w:kern w:val="28"/>
          <w:sz w:val="22"/>
          <w:szCs w:val="21"/>
          <w:highlight w:val="none"/>
        </w:rPr>
      </w:pPr>
      <w:r>
        <w:rPr>
          <w:rFonts w:ascii="宋体" w:cs="宋体"/>
          <w:color w:val="auto"/>
          <w:szCs w:val="21"/>
          <w:highlight w:val="none"/>
        </w:rPr>
        <w:br w:type="page"/>
      </w:r>
      <w:r>
        <w:rPr>
          <w:rFonts w:hint="eastAsia" w:ascii="宋体" w:hAnsi="宋体" w:cs="宋体"/>
          <w:b/>
          <w:color w:val="auto"/>
          <w:kern w:val="28"/>
          <w:sz w:val="28"/>
          <w:szCs w:val="24"/>
          <w:highlight w:val="none"/>
        </w:rPr>
        <w:t>第一部分投标邀请函</w:t>
      </w:r>
    </w:p>
    <w:p>
      <w:pPr>
        <w:spacing w:line="360" w:lineRule="auto"/>
        <w:ind w:firstLine="420"/>
        <w:rPr>
          <w:rFonts w:ascii="宋体" w:cs="宋体"/>
          <w:color w:val="auto"/>
          <w:szCs w:val="21"/>
          <w:highlight w:val="none"/>
        </w:rPr>
      </w:pPr>
      <w:r>
        <w:rPr>
          <w:rFonts w:hint="eastAsia" w:ascii="宋体" w:hAnsi="宋体" w:cs="宋体"/>
          <w:b/>
          <w:bCs/>
          <w:color w:val="auto"/>
          <w:szCs w:val="21"/>
          <w:highlight w:val="none"/>
          <w:lang w:eastAsia="zh-CN"/>
        </w:rPr>
        <w:t>中山市建业建筑工程监理有限公司</w:t>
      </w:r>
      <w:r>
        <w:rPr>
          <w:rFonts w:hint="eastAsia" w:ascii="宋体" w:hAnsi="宋体" w:cs="宋体"/>
          <w:color w:val="auto"/>
          <w:kern w:val="28"/>
          <w:szCs w:val="21"/>
          <w:highlight w:val="none"/>
        </w:rPr>
        <w:t>（以下</w:t>
      </w:r>
      <w:r>
        <w:rPr>
          <w:rFonts w:hint="eastAsia" w:ascii="宋体" w:hAnsi="宋体" w:cs="宋体"/>
          <w:color w:val="auto"/>
          <w:szCs w:val="21"/>
          <w:highlight w:val="none"/>
        </w:rPr>
        <w:t>简称“采购代理机构</w:t>
      </w:r>
      <w:r>
        <w:rPr>
          <w:rFonts w:hint="eastAsia" w:ascii="宋体" w:hAnsi="宋体" w:cs="宋体"/>
          <w:color w:val="auto"/>
          <w:kern w:val="28"/>
          <w:szCs w:val="21"/>
          <w:highlight w:val="none"/>
        </w:rPr>
        <w:t>”）</w:t>
      </w:r>
      <w:r>
        <w:rPr>
          <w:rFonts w:hint="eastAsia" w:ascii="宋体" w:hAnsi="宋体" w:cs="宋体"/>
          <w:color w:val="auto"/>
          <w:szCs w:val="21"/>
          <w:highlight w:val="none"/>
        </w:rPr>
        <w:t>受</w:t>
      </w:r>
      <w:r>
        <w:rPr>
          <w:rFonts w:hint="eastAsia" w:ascii="宋体" w:hAnsi="宋体" w:cs="宋体"/>
          <w:b/>
          <w:bCs/>
          <w:color w:val="auto"/>
          <w:szCs w:val="21"/>
          <w:highlight w:val="none"/>
          <w:lang w:eastAsia="zh-CN"/>
        </w:rPr>
        <w:t>中山市坦洲镇集体资产经营有限公司</w:t>
      </w:r>
      <w:r>
        <w:rPr>
          <w:rFonts w:hint="eastAsia" w:ascii="宋体" w:hAnsi="宋体" w:cs="宋体"/>
          <w:color w:val="auto"/>
          <w:kern w:val="28"/>
          <w:szCs w:val="21"/>
          <w:highlight w:val="none"/>
        </w:rPr>
        <w:t>（以下简称“采购人”）的委托</w:t>
      </w:r>
      <w:r>
        <w:rPr>
          <w:rFonts w:hint="eastAsia" w:ascii="宋体" w:hAnsi="宋体" w:cs="宋体"/>
          <w:color w:val="auto"/>
          <w:szCs w:val="21"/>
          <w:highlight w:val="none"/>
        </w:rPr>
        <w:t>，</w:t>
      </w:r>
      <w:r>
        <w:rPr>
          <w:rFonts w:hint="eastAsia" w:ascii="宋体" w:hAnsi="宋体" w:cs="宋体"/>
          <w:color w:val="auto"/>
          <w:kern w:val="28"/>
          <w:szCs w:val="21"/>
          <w:highlight w:val="none"/>
        </w:rPr>
        <w:t>对</w:t>
      </w:r>
      <w:r>
        <w:rPr>
          <w:rFonts w:hint="eastAsia" w:ascii="宋体" w:hAnsi="宋体" w:cs="宋体"/>
          <w:b/>
          <w:bCs/>
          <w:color w:val="auto"/>
          <w:kern w:val="28"/>
          <w:szCs w:val="21"/>
          <w:highlight w:val="none"/>
          <w:lang w:eastAsia="zh-CN"/>
        </w:rPr>
        <w:t>中山市坦洲镇政府大院发电机购置安装项目</w:t>
      </w:r>
      <w:r>
        <w:rPr>
          <w:rFonts w:hint="eastAsia" w:ascii="宋体" w:hAnsi="宋体" w:cs="宋体"/>
          <w:color w:val="auto"/>
          <w:szCs w:val="21"/>
          <w:highlight w:val="none"/>
        </w:rPr>
        <w:t>进行公开招标采购，</w:t>
      </w:r>
      <w:r>
        <w:rPr>
          <w:rFonts w:hint="eastAsia" w:ascii="宋体" w:hAnsi="宋体" w:cs="宋体"/>
          <w:color w:val="auto"/>
          <w:szCs w:val="21"/>
          <w:highlight w:val="none"/>
          <w:lang w:val="zh-CN"/>
        </w:rPr>
        <w:t>欢迎符合资格条件</w:t>
      </w:r>
      <w:r>
        <w:rPr>
          <w:rFonts w:hint="eastAsia" w:ascii="宋体" w:hAnsi="宋体" w:cs="宋体"/>
          <w:color w:val="auto"/>
          <w:szCs w:val="21"/>
          <w:highlight w:val="none"/>
        </w:rPr>
        <w:t>的供应商投标。</w:t>
      </w:r>
    </w:p>
    <w:p>
      <w:pPr>
        <w:numPr>
          <w:ilvl w:val="0"/>
          <w:numId w:val="13"/>
        </w:numPr>
        <w:spacing w:line="360" w:lineRule="auto"/>
        <w:rPr>
          <w:rFonts w:ascii="宋体" w:hAnsi="宋体" w:cs="宋体"/>
          <w:color w:val="auto"/>
          <w:kern w:val="28"/>
          <w:szCs w:val="21"/>
          <w:highlight w:val="none"/>
        </w:rPr>
      </w:pPr>
      <w:r>
        <w:rPr>
          <w:rFonts w:hint="eastAsia" w:ascii="宋体" w:hAnsi="宋体" w:cs="宋体"/>
          <w:b/>
          <w:color w:val="auto"/>
          <w:szCs w:val="21"/>
          <w:highlight w:val="none"/>
        </w:rPr>
        <w:t>采购项目编号：</w:t>
      </w:r>
      <w:r>
        <w:rPr>
          <w:rFonts w:hint="eastAsia" w:ascii="宋体" w:hAnsi="宋体" w:cs="宋体"/>
          <w:color w:val="auto"/>
          <w:kern w:val="28"/>
          <w:szCs w:val="21"/>
          <w:highlight w:val="none"/>
          <w:lang w:eastAsia="zh-CN"/>
        </w:rPr>
        <w:t>ZSJYJZ012</w:t>
      </w:r>
      <w:r>
        <w:rPr>
          <w:rFonts w:hint="eastAsia" w:ascii="宋体" w:hAnsi="宋体" w:cs="宋体"/>
          <w:color w:val="auto"/>
          <w:kern w:val="28"/>
          <w:szCs w:val="21"/>
          <w:highlight w:val="none"/>
        </w:rPr>
        <w:t xml:space="preserve">  </w:t>
      </w:r>
    </w:p>
    <w:p>
      <w:pPr>
        <w:spacing w:line="360" w:lineRule="auto"/>
        <w:rPr>
          <w:rFonts w:hint="eastAsia" w:ascii="宋体" w:eastAsia="宋体" w:cs="宋体"/>
          <w:color w:val="auto"/>
          <w:kern w:val="28"/>
          <w:szCs w:val="21"/>
          <w:highlight w:val="none"/>
          <w:lang w:eastAsia="zh-CN"/>
        </w:rPr>
      </w:pPr>
      <w:r>
        <w:rPr>
          <w:rFonts w:hint="eastAsia" w:ascii="宋体" w:hAnsi="宋体" w:cs="宋体"/>
          <w:b/>
          <w:color w:val="auto"/>
          <w:szCs w:val="21"/>
          <w:highlight w:val="none"/>
        </w:rPr>
        <w:t>二、采购项目名称：</w:t>
      </w:r>
      <w:r>
        <w:rPr>
          <w:rFonts w:hint="eastAsia" w:ascii="宋体" w:hAnsi="宋体" w:cs="宋体"/>
          <w:color w:val="auto"/>
          <w:kern w:val="28"/>
          <w:szCs w:val="21"/>
          <w:highlight w:val="none"/>
          <w:lang w:eastAsia="zh-CN"/>
        </w:rPr>
        <w:t>中山市坦洲镇政府大院发电机购置安装项目</w:t>
      </w:r>
    </w:p>
    <w:p>
      <w:pPr>
        <w:spacing w:line="360" w:lineRule="auto"/>
        <w:ind w:left="632" w:hanging="632" w:hangingChars="300"/>
        <w:rPr>
          <w:rFonts w:ascii="宋体" w:cs="宋体"/>
          <w:color w:val="auto"/>
          <w:kern w:val="28"/>
          <w:szCs w:val="21"/>
          <w:highlight w:val="none"/>
        </w:rPr>
      </w:pPr>
      <w:r>
        <w:rPr>
          <w:rFonts w:hint="eastAsia" w:ascii="宋体" w:hAnsi="宋体" w:cs="宋体"/>
          <w:b/>
          <w:color w:val="auto"/>
          <w:szCs w:val="21"/>
          <w:highlight w:val="none"/>
        </w:rPr>
        <w:t>三、采购项目预算金额及资金来源（元）</w:t>
      </w:r>
      <w:r>
        <w:rPr>
          <w:rFonts w:hint="eastAsia" w:ascii="宋体" w:hAnsi="宋体" w:cs="宋体"/>
          <w:color w:val="auto"/>
          <w:kern w:val="28"/>
          <w:szCs w:val="21"/>
          <w:highlight w:val="none"/>
        </w:rPr>
        <w:t>：</w:t>
      </w:r>
      <w:r>
        <w:rPr>
          <w:rFonts w:hint="eastAsia" w:ascii="宋体" w:hAnsi="宋体"/>
          <w:b/>
          <w:bCs/>
          <w:color w:val="auto"/>
          <w:szCs w:val="21"/>
          <w:highlight w:val="none"/>
        </w:rPr>
        <w:t>人民币</w:t>
      </w:r>
      <w:r>
        <w:rPr>
          <w:rFonts w:hint="eastAsia" w:ascii="宋体" w:hAnsi="宋体"/>
          <w:b/>
          <w:bCs/>
          <w:color w:val="auto"/>
          <w:szCs w:val="21"/>
          <w:highlight w:val="none"/>
          <w:lang w:val="en-US" w:eastAsia="zh-CN"/>
        </w:rPr>
        <w:t>496586.15</w:t>
      </w:r>
      <w:r>
        <w:rPr>
          <w:rFonts w:hint="eastAsia" w:ascii="宋体" w:hAnsi="宋体" w:cs="宋体"/>
          <w:b/>
          <w:bCs/>
          <w:color w:val="auto"/>
          <w:kern w:val="28"/>
          <w:szCs w:val="21"/>
          <w:highlight w:val="none"/>
        </w:rPr>
        <w:t>元</w:t>
      </w:r>
      <w:r>
        <w:rPr>
          <w:rFonts w:hint="eastAsia" w:ascii="宋体" w:hAnsi="宋体"/>
          <w:b/>
          <w:bCs/>
          <w:color w:val="auto"/>
          <w:highlight w:val="none"/>
        </w:rPr>
        <w:t>，</w:t>
      </w:r>
      <w:r>
        <w:rPr>
          <w:rFonts w:hint="eastAsia" w:ascii="宋体" w:hAnsi="宋体"/>
          <w:b/>
          <w:bCs/>
          <w:color w:val="auto"/>
          <w:highlight w:val="none"/>
          <w:lang w:eastAsia="zh-CN"/>
        </w:rPr>
        <w:t>自筹</w:t>
      </w:r>
      <w:r>
        <w:rPr>
          <w:rFonts w:hint="eastAsia" w:ascii="宋体" w:hAnsi="宋体" w:cs="宋体"/>
          <w:b/>
          <w:bCs/>
          <w:color w:val="auto"/>
          <w:kern w:val="28"/>
          <w:szCs w:val="21"/>
          <w:highlight w:val="none"/>
        </w:rPr>
        <w:t>资金。</w:t>
      </w:r>
    </w:p>
    <w:p>
      <w:pPr>
        <w:tabs>
          <w:tab w:val="left" w:pos="424"/>
        </w:tabs>
        <w:spacing w:line="360" w:lineRule="auto"/>
        <w:rPr>
          <w:rFonts w:ascii="宋体" w:cs="宋体"/>
          <w:b/>
          <w:bCs/>
          <w:color w:val="auto"/>
          <w:kern w:val="28"/>
          <w:szCs w:val="21"/>
          <w:highlight w:val="none"/>
        </w:rPr>
      </w:pPr>
      <w:r>
        <w:rPr>
          <w:rFonts w:hint="eastAsia" w:ascii="宋体" w:hAnsi="宋体" w:cs="宋体"/>
          <w:b/>
          <w:bCs/>
          <w:color w:val="auto"/>
          <w:kern w:val="28"/>
          <w:szCs w:val="21"/>
          <w:highlight w:val="none"/>
        </w:rPr>
        <w:t>四、采购数量：</w:t>
      </w:r>
      <w:r>
        <w:rPr>
          <w:rFonts w:ascii="宋体" w:hAnsi="宋体" w:cs="宋体"/>
          <w:b/>
          <w:bCs/>
          <w:color w:val="auto"/>
          <w:kern w:val="28"/>
          <w:szCs w:val="21"/>
          <w:highlight w:val="none"/>
        </w:rPr>
        <w:t>1</w:t>
      </w:r>
      <w:r>
        <w:rPr>
          <w:rFonts w:hint="eastAsia" w:ascii="宋体" w:hAnsi="宋体" w:cs="宋体"/>
          <w:b/>
          <w:bCs/>
          <w:color w:val="auto"/>
          <w:kern w:val="28"/>
          <w:szCs w:val="21"/>
          <w:highlight w:val="none"/>
        </w:rPr>
        <w:t>项</w:t>
      </w:r>
    </w:p>
    <w:p>
      <w:pPr>
        <w:tabs>
          <w:tab w:val="left" w:pos="424"/>
        </w:tabs>
        <w:spacing w:line="360" w:lineRule="auto"/>
        <w:rPr>
          <w:rFonts w:ascii="宋体" w:cs="宋体"/>
          <w:bCs/>
          <w:color w:val="auto"/>
          <w:szCs w:val="21"/>
          <w:highlight w:val="none"/>
        </w:rPr>
      </w:pPr>
      <w:r>
        <w:rPr>
          <w:rFonts w:hint="eastAsia" w:ascii="宋体" w:hAnsi="宋体" w:cs="宋体"/>
          <w:b/>
          <w:color w:val="auto"/>
          <w:szCs w:val="21"/>
          <w:highlight w:val="none"/>
        </w:rPr>
        <w:t>五、采购项目内容及需求：</w:t>
      </w:r>
    </w:p>
    <w:p>
      <w:pPr>
        <w:tabs>
          <w:tab w:val="left" w:pos="424"/>
        </w:tabs>
        <w:spacing w:line="360" w:lineRule="auto"/>
        <w:ind w:left="420" w:hanging="420" w:hangingChars="200"/>
        <w:rPr>
          <w:rFonts w:ascii="宋体" w:hAnsi="宋体" w:cs="宋体"/>
          <w:bCs/>
          <w:color w:val="auto"/>
          <w:szCs w:val="21"/>
          <w:highlight w:val="none"/>
        </w:rPr>
      </w:pPr>
      <w:r>
        <w:rPr>
          <w:rFonts w:ascii="宋体" w:hAnsi="宋体" w:cs="宋体"/>
          <w:bCs/>
          <w:color w:val="auto"/>
          <w:szCs w:val="21"/>
          <w:highlight w:val="none"/>
        </w:rPr>
        <w:t xml:space="preserve">1.  </w:t>
      </w:r>
      <w:r>
        <w:rPr>
          <w:rFonts w:hint="eastAsia" w:ascii="宋体" w:hAnsi="宋体" w:cs="宋体"/>
          <w:bCs/>
          <w:color w:val="auto"/>
          <w:szCs w:val="21"/>
          <w:highlight w:val="none"/>
        </w:rPr>
        <w:t>项目内容：</w:t>
      </w:r>
      <w:r>
        <w:rPr>
          <w:rFonts w:hint="eastAsia" w:ascii="宋体" w:hAnsi="宋体" w:cs="宋体"/>
          <w:color w:val="auto"/>
          <w:kern w:val="28"/>
          <w:szCs w:val="21"/>
          <w:highlight w:val="none"/>
          <w:lang w:eastAsia="zh-CN"/>
        </w:rPr>
        <w:t>发电机采购、安装</w:t>
      </w:r>
      <w:r>
        <w:rPr>
          <w:rFonts w:hint="eastAsia" w:ascii="宋体" w:hAnsi="宋体" w:cs="宋体"/>
          <w:color w:val="auto"/>
          <w:kern w:val="28"/>
          <w:szCs w:val="21"/>
          <w:highlight w:val="none"/>
        </w:rPr>
        <w:t>。</w:t>
      </w:r>
    </w:p>
    <w:p>
      <w:pPr>
        <w:tabs>
          <w:tab w:val="left" w:pos="424"/>
        </w:tabs>
        <w:spacing w:line="360" w:lineRule="auto"/>
        <w:ind w:left="420" w:hanging="420" w:hangingChars="200"/>
        <w:rPr>
          <w:rFonts w:asci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 xml:space="preserve">.  </w:t>
      </w:r>
      <w:r>
        <w:rPr>
          <w:rFonts w:hint="eastAsia" w:ascii="宋体"/>
          <w:color w:val="auto"/>
          <w:highlight w:val="none"/>
        </w:rPr>
        <w:t>交付使用期限：</w:t>
      </w:r>
      <w:r>
        <w:rPr>
          <w:rFonts w:hint="eastAsia" w:ascii="宋体" w:hAnsi="宋体" w:cs="宋体"/>
          <w:color w:val="auto"/>
          <w:szCs w:val="21"/>
          <w:highlight w:val="none"/>
        </w:rPr>
        <w:t>签订合同之日起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30 </w:t>
      </w:r>
      <w:r>
        <w:rPr>
          <w:rFonts w:hint="eastAsia" w:ascii="宋体" w:hAnsi="宋体" w:cs="宋体"/>
          <w:color w:val="auto"/>
          <w:szCs w:val="21"/>
          <w:highlight w:val="none"/>
          <w:u w:val="none"/>
        </w:rPr>
        <w:t>个</w:t>
      </w:r>
      <w:r>
        <w:rPr>
          <w:rFonts w:hint="eastAsia" w:ascii="宋体" w:hAnsi="宋体" w:cs="宋体"/>
          <w:color w:val="auto"/>
          <w:szCs w:val="21"/>
          <w:highlight w:val="none"/>
        </w:rPr>
        <w:t>日历天</w:t>
      </w:r>
      <w:r>
        <w:rPr>
          <w:rFonts w:hint="eastAsia" w:ascii="宋体"/>
          <w:color w:val="auto"/>
          <w:highlight w:val="none"/>
        </w:rPr>
        <w:t>。</w:t>
      </w:r>
    </w:p>
    <w:p>
      <w:pPr>
        <w:tabs>
          <w:tab w:val="left" w:pos="424"/>
        </w:tabs>
        <w:spacing w:line="360" w:lineRule="auto"/>
        <w:rPr>
          <w:rFonts w:ascii="宋体" w:cs="宋体"/>
          <w:bCs/>
          <w:color w:val="auto"/>
          <w:szCs w:val="21"/>
          <w:highlight w:val="none"/>
        </w:rPr>
      </w:pPr>
      <w:r>
        <w:rPr>
          <w:rFonts w:hint="eastAsia" w:ascii="宋体" w:hAnsi="宋体" w:cs="宋体"/>
          <w:bCs/>
          <w:color w:val="auto"/>
          <w:szCs w:val="21"/>
          <w:highlight w:val="none"/>
        </w:rPr>
        <w:t>3</w:t>
      </w:r>
      <w:r>
        <w:rPr>
          <w:rFonts w:ascii="宋体" w:hAnsi="宋体" w:cs="宋体"/>
          <w:bCs/>
          <w:color w:val="auto"/>
          <w:szCs w:val="21"/>
          <w:highlight w:val="none"/>
        </w:rPr>
        <w:t xml:space="preserve">.  </w:t>
      </w:r>
      <w:r>
        <w:rPr>
          <w:rFonts w:hint="eastAsia" w:ascii="宋体" w:hAnsi="宋体" w:cs="宋体"/>
          <w:bCs/>
          <w:color w:val="auto"/>
          <w:szCs w:val="21"/>
          <w:highlight w:val="none"/>
        </w:rPr>
        <w:t>本项目不允许提交备选方案。</w:t>
      </w:r>
    </w:p>
    <w:p>
      <w:pPr>
        <w:tabs>
          <w:tab w:val="left" w:pos="530"/>
        </w:tabs>
        <w:spacing w:line="360" w:lineRule="auto"/>
        <w:rPr>
          <w:rFonts w:ascii="宋体"/>
          <w:b/>
          <w:color w:val="auto"/>
          <w:szCs w:val="21"/>
          <w:highlight w:val="none"/>
        </w:rPr>
      </w:pPr>
      <w:r>
        <w:rPr>
          <w:rFonts w:hint="eastAsia" w:ascii="宋体"/>
          <w:b/>
          <w:color w:val="auto"/>
          <w:szCs w:val="21"/>
          <w:highlight w:val="none"/>
        </w:rPr>
        <w:t>六、合格投标人的基本条件：</w:t>
      </w:r>
    </w:p>
    <w:p>
      <w:pPr>
        <w:widowControl w:val="0"/>
        <w:numPr>
          <w:ilvl w:val="0"/>
          <w:numId w:val="14"/>
        </w:numPr>
        <w:snapToGrid w:val="0"/>
        <w:spacing w:line="360" w:lineRule="auto"/>
        <w:jc w:val="both"/>
        <w:rPr>
          <w:color w:val="auto"/>
          <w:highlight w:val="none"/>
        </w:rPr>
      </w:pPr>
      <w:r>
        <w:rPr>
          <w:rFonts w:hint="eastAsia" w:ascii="宋体"/>
          <w:bCs/>
          <w:color w:val="auto"/>
          <w:szCs w:val="21"/>
          <w:highlight w:val="none"/>
        </w:rPr>
        <w:t>参考《政府采购法》第二十二条规定，</w:t>
      </w:r>
      <w:r>
        <w:rPr>
          <w:rFonts w:hint="eastAsia"/>
          <w:color w:val="auto"/>
          <w:szCs w:val="21"/>
          <w:highlight w:val="none"/>
        </w:rPr>
        <w:t>投标人应具</w:t>
      </w:r>
      <w:r>
        <w:rPr>
          <w:rFonts w:hint="eastAsia" w:ascii="宋体"/>
          <w:bCs/>
          <w:color w:val="auto"/>
          <w:szCs w:val="21"/>
          <w:highlight w:val="none"/>
        </w:rPr>
        <w:t>备的条件；</w:t>
      </w:r>
    </w:p>
    <w:p>
      <w:pPr>
        <w:spacing w:line="360" w:lineRule="auto"/>
        <w:ind w:left="525" w:leftChars="250" w:firstLine="42" w:firstLineChars="2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）具有独立承担民事责任的能力（提供营业执照复印件或证明文件复印件）；</w:t>
      </w:r>
    </w:p>
    <w:p>
      <w:pPr>
        <w:spacing w:line="360" w:lineRule="auto"/>
        <w:ind w:left="525" w:leftChars="250" w:firstLine="42" w:firstLineChars="2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）具有良好的商业信誉和健全的财务会计制度（近</w:t>
      </w:r>
      <w:r>
        <w:rPr>
          <w:rFonts w:ascii="宋体" w:hAnsi="宋体" w:cs="宋体"/>
          <w:color w:val="auto"/>
          <w:szCs w:val="21"/>
        </w:rPr>
        <w:t>12</w:t>
      </w:r>
      <w:r>
        <w:rPr>
          <w:rFonts w:hint="eastAsia" w:ascii="宋体" w:hAnsi="宋体" w:cs="宋体"/>
          <w:color w:val="auto"/>
          <w:szCs w:val="21"/>
        </w:rPr>
        <w:t>个月内任何</w:t>
      </w:r>
      <w:r>
        <w:rPr>
          <w:rFonts w:ascii="宋体" w:hAnsi="宋体" w:cs="宋体"/>
          <w:color w:val="auto"/>
          <w:szCs w:val="21"/>
        </w:rPr>
        <w:t>1</w:t>
      </w:r>
      <w:r>
        <w:rPr>
          <w:rFonts w:hint="eastAsia" w:ascii="宋体" w:hAnsi="宋体" w:cs="宋体"/>
          <w:color w:val="auto"/>
          <w:szCs w:val="21"/>
        </w:rPr>
        <w:t>个月编制的财务报表复印件）；</w:t>
      </w:r>
    </w:p>
    <w:p>
      <w:pPr>
        <w:spacing w:line="360" w:lineRule="auto"/>
        <w:ind w:left="525" w:leftChars="250" w:firstLine="42" w:firstLineChars="2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）具有履行合同所必需的设备和专业技术能力；</w:t>
      </w:r>
    </w:p>
    <w:p>
      <w:pPr>
        <w:spacing w:line="360" w:lineRule="auto"/>
        <w:ind w:left="621" w:firstLine="16" w:firstLineChars="8"/>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）有依法缴纳税收和社会保障资金的良好记录（近</w:t>
      </w:r>
      <w:r>
        <w:rPr>
          <w:rFonts w:ascii="宋体" w:hAnsi="宋体" w:cs="宋体"/>
          <w:color w:val="auto"/>
          <w:szCs w:val="21"/>
        </w:rPr>
        <w:t>12</w:t>
      </w:r>
      <w:r>
        <w:rPr>
          <w:rFonts w:hint="eastAsia" w:ascii="宋体" w:hAnsi="宋体" w:cs="宋体"/>
          <w:color w:val="auto"/>
          <w:szCs w:val="21"/>
        </w:rPr>
        <w:t>个月内任何时间的纳税证明资料复印件和缴交社保证明资料复印件）；</w:t>
      </w:r>
    </w:p>
    <w:p>
      <w:pPr>
        <w:spacing w:line="360" w:lineRule="auto"/>
        <w:ind w:left="621" w:firstLine="16" w:firstLineChars="8"/>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）参加政府采购活动前三年内，在经营活动中没有重大违法记录（按投标文件格式提供的资格声明函格式填写）；</w:t>
      </w:r>
    </w:p>
    <w:p>
      <w:pPr>
        <w:spacing w:line="360" w:lineRule="auto"/>
        <w:ind w:left="525" w:leftChars="250" w:firstLine="42" w:firstLineChars="20"/>
        <w:rPr>
          <w:color w:val="auto"/>
          <w:highlight w:val="none"/>
        </w:rPr>
      </w:pPr>
      <w:r>
        <w:rPr>
          <w:rFonts w:hint="eastAsia" w:ascii="宋体" w:hAnsi="宋体" w:cs="宋体"/>
          <w:color w:val="auto"/>
          <w:szCs w:val="21"/>
        </w:rPr>
        <w:t>（</w:t>
      </w:r>
      <w:r>
        <w:rPr>
          <w:rFonts w:ascii="宋体" w:hAnsi="宋体" w:cs="宋体"/>
          <w:color w:val="auto"/>
          <w:szCs w:val="21"/>
        </w:rPr>
        <w:t>6</w:t>
      </w:r>
      <w:r>
        <w:rPr>
          <w:rFonts w:hint="eastAsia" w:ascii="宋体" w:hAnsi="宋体" w:cs="宋体"/>
          <w:color w:val="auto"/>
          <w:szCs w:val="21"/>
        </w:rPr>
        <w:t>）法律、行政法规规定的其他条件。</w:t>
      </w:r>
    </w:p>
    <w:p>
      <w:pPr>
        <w:widowControl w:val="0"/>
        <w:numPr>
          <w:ilvl w:val="0"/>
          <w:numId w:val="14"/>
        </w:numPr>
        <w:snapToGrid w:val="0"/>
        <w:spacing w:line="360" w:lineRule="auto"/>
        <w:jc w:val="both"/>
      </w:pPr>
      <w:r>
        <w:rPr>
          <w:rFonts w:hint="eastAsia" w:ascii="宋体"/>
          <w:color w:val="auto"/>
          <w:szCs w:val="21"/>
          <w:highlight w:val="none"/>
        </w:rPr>
        <w:t>投标人须具有独立承担民事责任能力的在中华人民共和国境内注册的法人或其他组织，并独立于采购人和采购代理机构</w:t>
      </w:r>
      <w:r>
        <w:rPr>
          <w:rFonts w:hint="eastAsia" w:ascii="宋体"/>
          <w:bCs/>
          <w:color w:val="auto"/>
          <w:szCs w:val="21"/>
          <w:highlight w:val="none"/>
        </w:rPr>
        <w:t>；</w:t>
      </w:r>
    </w:p>
    <w:p>
      <w:pPr>
        <w:widowControl w:val="0"/>
        <w:numPr>
          <w:ilvl w:val="0"/>
          <w:numId w:val="14"/>
        </w:numPr>
        <w:snapToGrid w:val="0"/>
        <w:spacing w:line="360" w:lineRule="auto"/>
        <w:jc w:val="both"/>
        <w:rPr>
          <w:rFonts w:ascii="宋体"/>
          <w:color w:val="auto"/>
          <w:szCs w:val="21"/>
          <w:highlight w:val="none"/>
        </w:rPr>
      </w:pPr>
      <w:r>
        <w:t>.投标人须具备建筑机电安装工程专业承包三级或以上资质，并具有有效期内安全生产许可证（须提供资质证书复印件并加盖公章，开标当天投标截止时间前提供原件核查，无原件视为无效投标）；</w:t>
      </w:r>
    </w:p>
    <w:p>
      <w:pPr>
        <w:widowControl w:val="0"/>
        <w:numPr>
          <w:ilvl w:val="0"/>
          <w:numId w:val="14"/>
        </w:numPr>
        <w:snapToGrid w:val="0"/>
        <w:spacing w:line="360" w:lineRule="auto"/>
        <w:jc w:val="both"/>
        <w:rPr>
          <w:rFonts w:asci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须</w:t>
      </w:r>
      <w:r>
        <w:rPr>
          <w:rFonts w:hint="eastAsia" w:hAnsi="宋体"/>
          <w:color w:val="auto"/>
          <w:highlight w:val="none"/>
        </w:rPr>
        <w:t>具备</w:t>
      </w:r>
      <w:r>
        <w:rPr>
          <w:rFonts w:hint="eastAsia" w:ascii="宋体" w:hAnsi="宋体"/>
          <w:color w:val="auto"/>
          <w:szCs w:val="21"/>
          <w:highlight w:val="none"/>
        </w:rPr>
        <w:t>国家电力监管委员会颁发的承装类承装（修）电力设施许可证五级</w:t>
      </w:r>
      <w:r>
        <w:rPr>
          <w:rFonts w:hint="eastAsia" w:hAnsi="宋体"/>
          <w:color w:val="auto"/>
          <w:highlight w:val="none"/>
        </w:rPr>
        <w:t>或以上资质</w:t>
      </w:r>
      <w:r>
        <w:rPr>
          <w:rFonts w:hint="eastAsia" w:ascii="宋体" w:hAnsi="宋体"/>
          <w:color w:val="auto"/>
          <w:szCs w:val="21"/>
          <w:lang w:val="en-US" w:eastAsia="zh-CN"/>
        </w:rPr>
        <w:t>；</w:t>
      </w:r>
      <w:r>
        <w:t>（须提供资质证书复印件并加盖公章，开标当天投标截止时间前提供原件核查，无原件视为无效投标）；</w:t>
      </w:r>
    </w:p>
    <w:p>
      <w:pPr>
        <w:widowControl w:val="0"/>
        <w:numPr>
          <w:ilvl w:val="0"/>
          <w:numId w:val="14"/>
        </w:numPr>
        <w:snapToGrid w:val="0"/>
        <w:spacing w:line="360" w:lineRule="auto"/>
        <w:jc w:val="both"/>
        <w:rPr>
          <w:rFonts w:ascii="宋体"/>
          <w:color w:val="auto"/>
          <w:szCs w:val="21"/>
          <w:highlight w:val="none"/>
        </w:rPr>
      </w:pPr>
      <w:r>
        <w:rPr>
          <w:rFonts w:hint="eastAsia" w:hAnsi="宋体" w:cs="宋体"/>
          <w:color w:val="auto"/>
          <w:szCs w:val="21"/>
          <w:highlight w:val="none"/>
        </w:rPr>
        <w:t>采购人或采购代理查询供应商信用记录，查询时间为投标截止当天，由采购人或采购代理机构通过“信用中国”网站（</w:t>
      </w:r>
      <w:r>
        <w:rPr>
          <w:rFonts w:hAnsi="宋体" w:cs="宋体"/>
          <w:color w:val="auto"/>
          <w:szCs w:val="21"/>
          <w:highlight w:val="none"/>
        </w:rPr>
        <w:t>http://www.creditchina.gov.cn)</w:t>
      </w:r>
      <w:r>
        <w:rPr>
          <w:rFonts w:hint="eastAsia" w:hAnsi="宋体" w:cs="宋体"/>
          <w:color w:val="auto"/>
          <w:szCs w:val="21"/>
          <w:highlight w:val="none"/>
        </w:rPr>
        <w:t>、中国政府采购网（</w:t>
      </w:r>
      <w:r>
        <w:rPr>
          <w:rFonts w:hAnsi="宋体" w:cs="宋体"/>
          <w:color w:val="auto"/>
          <w:szCs w:val="21"/>
          <w:highlight w:val="none"/>
        </w:rPr>
        <w:t>http://www.ccgp.gov.cn</w:t>
      </w:r>
      <w:r>
        <w:rPr>
          <w:rFonts w:hint="eastAsia" w:hAnsi="宋体" w:cs="宋体"/>
          <w:color w:val="auto"/>
          <w:szCs w:val="21"/>
          <w:highlight w:val="none"/>
        </w:rPr>
        <w:t>）等渠道查询相关供应商近三年信用记录，将查询的供应商信用记录提供给评审现场</w:t>
      </w:r>
      <w:r>
        <w:rPr>
          <w:rFonts w:hint="eastAsia" w:ascii="宋体" w:hAnsi="宋体"/>
          <w:color w:val="auto"/>
          <w:szCs w:val="21"/>
          <w:highlight w:val="none"/>
        </w:rPr>
        <w:t>；被人民法院列入失信被执行人、重大税收违法案件当事人名单、政府采购严重违法失信行为记录名单及其他不符合《政府采购法》第二十二条规定条件的供应商禁止参加政府采购活动（处罚期限届满的除外）；</w:t>
      </w:r>
    </w:p>
    <w:p>
      <w:pPr>
        <w:widowControl w:val="0"/>
        <w:numPr>
          <w:ilvl w:val="0"/>
          <w:numId w:val="14"/>
        </w:numPr>
        <w:snapToGrid w:val="0"/>
        <w:spacing w:line="360" w:lineRule="auto"/>
        <w:jc w:val="both"/>
        <w:rPr>
          <w:rFonts w:ascii="宋体"/>
          <w:color w:val="auto"/>
          <w:szCs w:val="21"/>
          <w:highlight w:val="none"/>
        </w:rPr>
      </w:pPr>
      <w:r>
        <w:rPr>
          <w:rFonts w:hint="eastAsia" w:ascii="宋体" w:hAnsi="宋体" w:cs="宋体"/>
          <w:color w:val="auto"/>
          <w:szCs w:val="21"/>
          <w:highlight w:val="none"/>
          <w:shd w:val="clear" w:color="auto" w:fill="FFFFFF"/>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widowControl w:val="0"/>
        <w:numPr>
          <w:ilvl w:val="0"/>
          <w:numId w:val="14"/>
        </w:numPr>
        <w:snapToGrid w:val="0"/>
        <w:spacing w:line="360" w:lineRule="auto"/>
        <w:jc w:val="both"/>
        <w:rPr>
          <w:rFonts w:ascii="宋体"/>
          <w:color w:val="auto"/>
          <w:szCs w:val="21"/>
          <w:highlight w:val="none"/>
        </w:rPr>
      </w:pPr>
      <w:r>
        <w:rPr>
          <w:rFonts w:hint="eastAsia" w:ascii="宋体"/>
          <w:color w:val="auto"/>
          <w:szCs w:val="21"/>
          <w:highlight w:val="none"/>
        </w:rPr>
        <w:t>本项目不接受联合体投标</w:t>
      </w:r>
      <w:r>
        <w:rPr>
          <w:rFonts w:hint="eastAsia" w:ascii="??" w:hAnsi="??"/>
          <w:color w:val="auto"/>
          <w:szCs w:val="21"/>
          <w:highlight w:val="none"/>
        </w:rPr>
        <w:t>；</w:t>
      </w:r>
    </w:p>
    <w:p>
      <w:pPr>
        <w:widowControl w:val="0"/>
        <w:numPr>
          <w:ilvl w:val="0"/>
          <w:numId w:val="14"/>
        </w:numPr>
        <w:tabs>
          <w:tab w:val="clear" w:pos="420"/>
        </w:tabs>
        <w:snapToGrid w:val="0"/>
        <w:spacing w:line="360" w:lineRule="auto"/>
        <w:jc w:val="both"/>
        <w:rPr>
          <w:color w:val="auto"/>
          <w:highlight w:val="none"/>
        </w:rPr>
      </w:pPr>
      <w:r>
        <w:rPr>
          <w:rFonts w:hint="eastAsia"/>
          <w:color w:val="auto"/>
          <w:highlight w:val="none"/>
        </w:rPr>
        <w:t>投标人须在代理机构登记并购买招标文件</w:t>
      </w:r>
      <w:r>
        <w:rPr>
          <w:rFonts w:hint="eastAsia" w:ascii="宋体"/>
          <w:color w:val="auto"/>
          <w:szCs w:val="21"/>
          <w:highlight w:val="none"/>
        </w:rPr>
        <w:t>。</w:t>
      </w:r>
    </w:p>
    <w:p>
      <w:pPr>
        <w:spacing w:line="360" w:lineRule="auto"/>
        <w:ind w:left="420" w:hanging="420" w:hangingChars="200"/>
        <w:jc w:val="both"/>
        <w:rPr>
          <w:rFonts w:hAnsi="宋体"/>
          <w:color w:val="auto"/>
          <w:szCs w:val="21"/>
          <w:highlight w:val="none"/>
        </w:rPr>
      </w:pPr>
      <w:r>
        <w:rPr>
          <w:rFonts w:hint="eastAsia" w:ascii="??" w:hAnsi="??"/>
          <w:color w:val="auto"/>
          <w:szCs w:val="21"/>
          <w:highlight w:val="none"/>
        </w:rPr>
        <w:t>七、符合资格的投标人应当在</w:t>
      </w:r>
      <w:r>
        <w:rPr>
          <w:rFonts w:ascii="??" w:hAnsi="??"/>
          <w:color w:val="auto"/>
          <w:szCs w:val="21"/>
          <w:highlight w:val="none"/>
        </w:rPr>
        <w:t>201</w:t>
      </w:r>
      <w:r>
        <w:rPr>
          <w:rFonts w:hint="eastAsia" w:ascii="??" w:hAnsi="??"/>
          <w:color w:val="auto"/>
          <w:szCs w:val="21"/>
          <w:highlight w:val="none"/>
        </w:rPr>
        <w:t>9</w:t>
      </w:r>
      <w:r>
        <w:rPr>
          <w:rFonts w:hint="eastAsia" w:hAnsi="宋体"/>
          <w:color w:val="auto"/>
          <w:szCs w:val="21"/>
          <w:highlight w:val="none"/>
        </w:rPr>
        <w:t>年</w:t>
      </w:r>
      <w:r>
        <w:rPr>
          <w:rFonts w:hint="eastAsia" w:hAnsi="宋体"/>
          <w:color w:val="auto"/>
          <w:szCs w:val="21"/>
          <w:highlight w:val="none"/>
          <w:lang w:val="en-US" w:eastAsia="zh-CN"/>
        </w:rPr>
        <w:t>8</w:t>
      </w:r>
      <w:r>
        <w:rPr>
          <w:rFonts w:hint="eastAsia" w:hAnsi="宋体"/>
          <w:color w:val="auto"/>
          <w:szCs w:val="21"/>
          <w:highlight w:val="none"/>
        </w:rPr>
        <w:t>月</w:t>
      </w:r>
      <w:r>
        <w:rPr>
          <w:rFonts w:hint="eastAsia" w:hAnsi="宋体"/>
          <w:color w:val="auto"/>
          <w:szCs w:val="21"/>
          <w:highlight w:val="none"/>
          <w:lang w:val="en-US" w:eastAsia="zh-CN"/>
        </w:rPr>
        <w:t>16</w:t>
      </w:r>
      <w:r>
        <w:rPr>
          <w:rFonts w:hint="eastAsia" w:hAnsi="宋体"/>
          <w:color w:val="auto"/>
          <w:szCs w:val="21"/>
          <w:highlight w:val="none"/>
        </w:rPr>
        <w:t>日</w:t>
      </w:r>
      <w:r>
        <w:rPr>
          <w:rFonts w:hAnsi="宋体"/>
          <w:color w:val="auto"/>
          <w:szCs w:val="21"/>
          <w:highlight w:val="none"/>
        </w:rPr>
        <w:t>08</w:t>
      </w:r>
      <w:r>
        <w:rPr>
          <w:rFonts w:hint="eastAsia" w:hAnsi="宋体"/>
          <w:color w:val="auto"/>
          <w:szCs w:val="21"/>
          <w:highlight w:val="none"/>
        </w:rPr>
        <w:t>时</w:t>
      </w:r>
      <w:r>
        <w:rPr>
          <w:rFonts w:hAnsi="宋体"/>
          <w:color w:val="auto"/>
          <w:szCs w:val="21"/>
          <w:highlight w:val="none"/>
        </w:rPr>
        <w:t>30</w:t>
      </w:r>
      <w:r>
        <w:rPr>
          <w:rFonts w:hint="eastAsia" w:hAnsi="宋体"/>
          <w:color w:val="auto"/>
          <w:szCs w:val="21"/>
          <w:highlight w:val="none"/>
        </w:rPr>
        <w:t>分至</w:t>
      </w:r>
      <w:r>
        <w:rPr>
          <w:rFonts w:hAnsi="宋体"/>
          <w:color w:val="auto"/>
          <w:szCs w:val="21"/>
          <w:highlight w:val="none"/>
        </w:rPr>
        <w:t>201</w:t>
      </w:r>
      <w:r>
        <w:rPr>
          <w:rFonts w:hint="eastAsia" w:hAnsi="宋体"/>
          <w:color w:val="auto"/>
          <w:szCs w:val="21"/>
          <w:highlight w:val="none"/>
        </w:rPr>
        <w:t>9年</w:t>
      </w:r>
      <w:r>
        <w:rPr>
          <w:rFonts w:hint="eastAsia" w:hAnsi="宋体"/>
          <w:color w:val="auto"/>
          <w:szCs w:val="21"/>
          <w:highlight w:val="none"/>
          <w:lang w:val="en-US" w:eastAsia="zh-CN"/>
        </w:rPr>
        <w:t>8</w:t>
      </w:r>
      <w:r>
        <w:rPr>
          <w:rFonts w:hint="eastAsia" w:hAnsi="宋体"/>
          <w:color w:val="auto"/>
          <w:szCs w:val="21"/>
          <w:highlight w:val="none"/>
        </w:rPr>
        <w:t>月</w:t>
      </w:r>
      <w:r>
        <w:rPr>
          <w:rFonts w:hint="eastAsia" w:hAnsi="宋体"/>
          <w:color w:val="auto"/>
          <w:szCs w:val="21"/>
          <w:highlight w:val="none"/>
          <w:lang w:val="en-US" w:eastAsia="zh-CN"/>
        </w:rPr>
        <w:t>22</w:t>
      </w:r>
      <w:r>
        <w:rPr>
          <w:rFonts w:hint="eastAsia" w:hAnsi="宋体"/>
          <w:color w:val="auto"/>
          <w:szCs w:val="21"/>
          <w:highlight w:val="none"/>
        </w:rPr>
        <w:t>日</w:t>
      </w:r>
      <w:r>
        <w:rPr>
          <w:rFonts w:hAnsi="宋体"/>
          <w:color w:val="auto"/>
          <w:szCs w:val="21"/>
          <w:highlight w:val="none"/>
        </w:rPr>
        <w:t>17</w:t>
      </w:r>
      <w:r>
        <w:rPr>
          <w:rFonts w:hint="eastAsia" w:hAnsi="宋体"/>
          <w:color w:val="auto"/>
          <w:szCs w:val="21"/>
          <w:highlight w:val="none"/>
        </w:rPr>
        <w:t>时</w:t>
      </w:r>
      <w:r>
        <w:rPr>
          <w:rFonts w:hAnsi="宋体"/>
          <w:color w:val="auto"/>
          <w:szCs w:val="21"/>
          <w:highlight w:val="none"/>
        </w:rPr>
        <w:t>30</w:t>
      </w:r>
      <w:r>
        <w:rPr>
          <w:rFonts w:hint="eastAsia" w:hAnsi="宋体"/>
          <w:color w:val="auto"/>
          <w:szCs w:val="21"/>
          <w:highlight w:val="none"/>
        </w:rPr>
        <w:t>分</w:t>
      </w:r>
      <w:r>
        <w:rPr>
          <w:rFonts w:hint="eastAsia" w:ascii="宋体"/>
          <w:color w:val="auto"/>
          <w:highlight w:val="none"/>
        </w:rPr>
        <w:t>（公休节假日除外）</w:t>
      </w:r>
      <w:r>
        <w:rPr>
          <w:rFonts w:hint="eastAsia" w:hAnsi="宋体"/>
          <w:color w:val="auto"/>
          <w:szCs w:val="21"/>
          <w:highlight w:val="none"/>
        </w:rPr>
        <w:t>登记报名及获取招标文件</w:t>
      </w:r>
      <w:r>
        <w:rPr>
          <w:rFonts w:hint="eastAsia" w:ascii="??" w:hAnsi="??"/>
          <w:color w:val="auto"/>
          <w:szCs w:val="21"/>
          <w:highlight w:val="none"/>
        </w:rPr>
        <w:t>。</w:t>
      </w:r>
    </w:p>
    <w:p>
      <w:pPr>
        <w:numPr>
          <w:ilvl w:val="0"/>
          <w:numId w:val="15"/>
        </w:numPr>
        <w:spacing w:line="360" w:lineRule="auto"/>
        <w:ind w:left="420" w:hanging="420" w:hangingChars="200"/>
        <w:rPr>
          <w:color w:val="auto"/>
          <w:highlight w:val="none"/>
        </w:rPr>
      </w:pPr>
      <w:r>
        <w:rPr>
          <w:rFonts w:hint="eastAsia" w:ascii="宋体" w:hAnsi="宋体" w:cs="宋体"/>
          <w:color w:val="auto"/>
          <w:szCs w:val="21"/>
          <w:highlight w:val="none"/>
        </w:rPr>
        <w:t>符合资格的投标人在</w:t>
      </w:r>
      <w:r>
        <w:rPr>
          <w:rFonts w:hint="eastAsia" w:ascii="宋体" w:hAnsi="宋体" w:cs="宋体"/>
          <w:color w:val="auto"/>
          <w:szCs w:val="21"/>
          <w:highlight w:val="none"/>
          <w:lang w:eastAsia="zh-CN"/>
        </w:rPr>
        <w:t>投标截止</w:t>
      </w:r>
      <w:r>
        <w:rPr>
          <w:rFonts w:hint="eastAsia" w:ascii="宋体" w:hAnsi="宋体" w:cs="宋体"/>
          <w:color w:val="auto"/>
          <w:szCs w:val="21"/>
          <w:highlight w:val="none"/>
        </w:rPr>
        <w:t>前缴纳投标保证金</w:t>
      </w:r>
      <w:r>
        <w:rPr>
          <w:rFonts w:hint="eastAsia" w:cs="宋体"/>
          <w:color w:val="auto"/>
          <w:szCs w:val="21"/>
          <w:highlight w:val="none"/>
        </w:rPr>
        <w:t>（</w:t>
      </w:r>
      <w:r>
        <w:rPr>
          <w:rFonts w:hint="eastAsia" w:ascii="宋体" w:hAnsi="宋体" w:cs="宋体"/>
          <w:color w:val="auto"/>
          <w:szCs w:val="21"/>
          <w:highlight w:val="none"/>
        </w:rPr>
        <w:t>￥</w:t>
      </w:r>
      <w:r>
        <w:rPr>
          <w:rStyle w:val="58"/>
          <w:rFonts w:hint="eastAsia" w:ascii="宋体" w:hAnsi="宋体" w:cs="宋体"/>
          <w:color w:val="auto"/>
          <w:szCs w:val="21"/>
          <w:highlight w:val="none"/>
          <w:lang w:val="en-US" w:eastAsia="zh-CN"/>
        </w:rPr>
        <w:t>9</w:t>
      </w:r>
      <w:r>
        <w:rPr>
          <w:rStyle w:val="58"/>
          <w:rFonts w:hint="eastAsia" w:ascii="宋体" w:hAnsi="宋体" w:cs="宋体"/>
          <w:color w:val="auto"/>
          <w:szCs w:val="21"/>
          <w:highlight w:val="none"/>
        </w:rPr>
        <w:t>000.00元</w:t>
      </w:r>
      <w:r>
        <w:rPr>
          <w:rStyle w:val="58"/>
          <w:rFonts w:hint="eastAsia" w:cs="宋体"/>
          <w:color w:val="auto"/>
          <w:szCs w:val="21"/>
          <w:highlight w:val="none"/>
        </w:rPr>
        <w:t>），</w:t>
      </w:r>
      <w:r>
        <w:rPr>
          <w:rFonts w:hint="eastAsia" w:ascii="宋体" w:hAnsi="宋体" w:cs="宋体"/>
          <w:color w:val="auto"/>
          <w:szCs w:val="21"/>
          <w:highlight w:val="none"/>
        </w:rPr>
        <w:t>并成功从投标人的银行账户汇到以下账号，</w:t>
      </w:r>
      <w:r>
        <w:rPr>
          <w:rFonts w:hint="eastAsia" w:ascii="宋体" w:hAnsi="宋体" w:cs="宋体"/>
          <w:color w:val="auto"/>
          <w:szCs w:val="21"/>
          <w:highlight w:val="none"/>
          <w:shd w:val="clear" w:color="auto" w:fill="FFFFFF"/>
        </w:rPr>
        <w:t>否则视为无效保证金</w:t>
      </w:r>
      <w:r>
        <w:rPr>
          <w:rFonts w:hint="eastAsia" w:ascii="宋体" w:hAnsi="宋体" w:cs="宋体"/>
          <w:color w:val="auto"/>
          <w:szCs w:val="21"/>
          <w:highlight w:val="none"/>
        </w:rPr>
        <w:t>。</w:t>
      </w:r>
    </w:p>
    <w:p>
      <w:pPr>
        <w:spacing w:line="360" w:lineRule="auto"/>
        <w:ind w:firstLine="1260" w:firstLineChars="6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 xml:space="preserve"> </w:t>
      </w:r>
      <w:r>
        <w:rPr>
          <w:rFonts w:hint="eastAsia" w:ascii="宋体"/>
          <w:color w:val="auto"/>
          <w:szCs w:val="21"/>
          <w:highlight w:val="none"/>
        </w:rPr>
        <w:t>开户银行：交通银行中山锦城支行</w:t>
      </w:r>
    </w:p>
    <w:p>
      <w:pPr>
        <w:spacing w:line="360" w:lineRule="auto"/>
        <w:ind w:firstLine="1470" w:firstLineChars="700"/>
        <w:rPr>
          <w:rFonts w:hint="eastAsia" w:ascii="宋体" w:eastAsia="宋体"/>
          <w:color w:val="auto"/>
          <w:szCs w:val="21"/>
          <w:highlight w:val="none"/>
          <w:lang w:eastAsia="zh-CN"/>
        </w:rPr>
      </w:pPr>
      <w:r>
        <w:rPr>
          <w:rFonts w:hint="eastAsia" w:ascii="宋体"/>
          <w:color w:val="auto"/>
          <w:szCs w:val="21"/>
          <w:highlight w:val="none"/>
        </w:rPr>
        <w:t>账户名称：</w:t>
      </w:r>
      <w:r>
        <w:rPr>
          <w:rFonts w:hint="eastAsia" w:ascii="宋体"/>
          <w:color w:val="auto"/>
          <w:szCs w:val="21"/>
          <w:highlight w:val="none"/>
          <w:lang w:eastAsia="zh-CN"/>
        </w:rPr>
        <w:t>中山市建业建筑工程监理有限公司</w:t>
      </w:r>
    </w:p>
    <w:p>
      <w:pPr>
        <w:spacing w:line="360" w:lineRule="auto"/>
        <w:ind w:firstLine="1470" w:firstLineChars="700"/>
        <w:rPr>
          <w:rFonts w:hint="eastAsia" w:ascii="宋体"/>
          <w:color w:val="auto"/>
          <w:szCs w:val="21"/>
          <w:highlight w:val="none"/>
        </w:rPr>
      </w:pPr>
      <w:r>
        <w:rPr>
          <w:rFonts w:hint="eastAsia" w:ascii="宋体"/>
          <w:color w:val="auto"/>
          <w:szCs w:val="21"/>
          <w:highlight w:val="none"/>
        </w:rPr>
        <w:t>账　　号：4846</w:t>
      </w:r>
      <w:r>
        <w:rPr>
          <w:rFonts w:hint="eastAsia" w:ascii="宋体"/>
          <w:color w:val="auto"/>
          <w:szCs w:val="21"/>
          <w:highlight w:val="none"/>
          <w:lang w:val="en-US" w:eastAsia="zh-CN"/>
        </w:rPr>
        <w:t xml:space="preserve"> </w:t>
      </w:r>
      <w:r>
        <w:rPr>
          <w:rFonts w:hint="eastAsia" w:ascii="宋体"/>
          <w:color w:val="auto"/>
          <w:szCs w:val="21"/>
          <w:highlight w:val="none"/>
        </w:rPr>
        <w:t>0090</w:t>
      </w:r>
      <w:r>
        <w:rPr>
          <w:rFonts w:hint="eastAsia" w:ascii="宋体"/>
          <w:color w:val="auto"/>
          <w:szCs w:val="21"/>
          <w:highlight w:val="none"/>
          <w:lang w:val="en-US" w:eastAsia="zh-CN"/>
        </w:rPr>
        <w:t xml:space="preserve"> </w:t>
      </w:r>
      <w:r>
        <w:rPr>
          <w:rFonts w:hint="eastAsia" w:ascii="宋体"/>
          <w:color w:val="auto"/>
          <w:szCs w:val="21"/>
          <w:highlight w:val="none"/>
        </w:rPr>
        <w:t>0010</w:t>
      </w:r>
      <w:r>
        <w:rPr>
          <w:rFonts w:hint="eastAsia" w:ascii="宋体"/>
          <w:color w:val="auto"/>
          <w:szCs w:val="21"/>
          <w:highlight w:val="none"/>
          <w:lang w:val="en-US" w:eastAsia="zh-CN"/>
        </w:rPr>
        <w:t xml:space="preserve"> </w:t>
      </w:r>
      <w:r>
        <w:rPr>
          <w:rFonts w:hint="eastAsia" w:ascii="宋体"/>
          <w:color w:val="auto"/>
          <w:szCs w:val="21"/>
          <w:highlight w:val="none"/>
        </w:rPr>
        <w:t>2100</w:t>
      </w:r>
      <w:r>
        <w:rPr>
          <w:rFonts w:hint="eastAsia" w:ascii="宋体"/>
          <w:color w:val="auto"/>
          <w:szCs w:val="21"/>
          <w:highlight w:val="none"/>
          <w:lang w:val="en-US" w:eastAsia="zh-CN"/>
        </w:rPr>
        <w:t xml:space="preserve"> </w:t>
      </w:r>
      <w:r>
        <w:rPr>
          <w:rFonts w:hint="eastAsia" w:ascii="宋体"/>
          <w:color w:val="auto"/>
          <w:szCs w:val="21"/>
          <w:highlight w:val="none"/>
        </w:rPr>
        <w:t>1096</w:t>
      </w:r>
      <w:r>
        <w:rPr>
          <w:rFonts w:hint="eastAsia" w:ascii="宋体"/>
          <w:color w:val="auto"/>
          <w:szCs w:val="21"/>
          <w:highlight w:val="none"/>
          <w:lang w:val="en-US" w:eastAsia="zh-CN"/>
        </w:rPr>
        <w:t xml:space="preserve"> </w:t>
      </w:r>
      <w:r>
        <w:rPr>
          <w:rFonts w:hint="eastAsia" w:ascii="宋体"/>
          <w:color w:val="auto"/>
          <w:szCs w:val="21"/>
          <w:highlight w:val="none"/>
        </w:rPr>
        <w:t>8</w:t>
      </w:r>
    </w:p>
    <w:p>
      <w:pPr>
        <w:spacing w:line="360" w:lineRule="auto"/>
        <w:ind w:firstLine="1890" w:firstLineChars="900"/>
        <w:rPr>
          <w:color w:val="auto"/>
        </w:rPr>
      </w:pPr>
      <w:r>
        <w:rPr>
          <w:rFonts w:hint="eastAsia" w:ascii="宋体"/>
          <w:color w:val="auto"/>
          <w:szCs w:val="21"/>
          <w:highlight w:val="none"/>
        </w:rPr>
        <w:t>（汇款时应注明项目编号）</w:t>
      </w:r>
    </w:p>
    <w:p>
      <w:pPr>
        <w:numPr>
          <w:ilvl w:val="0"/>
          <w:numId w:val="16"/>
        </w:numPr>
        <w:spacing w:line="360" w:lineRule="auto"/>
        <w:ind w:left="420" w:hanging="420" w:hangingChars="200"/>
        <w:jc w:val="both"/>
        <w:rPr>
          <w:color w:val="auto"/>
          <w:szCs w:val="21"/>
          <w:highlight w:val="none"/>
        </w:rPr>
      </w:pPr>
      <w:r>
        <w:rPr>
          <w:rFonts w:hint="eastAsia"/>
          <w:color w:val="auto"/>
          <w:szCs w:val="21"/>
          <w:highlight w:val="none"/>
        </w:rPr>
        <w:t>符合资格的投标人可在</w:t>
      </w:r>
      <w:r>
        <w:rPr>
          <w:rFonts w:hAnsi="宋体"/>
          <w:color w:val="auto"/>
          <w:szCs w:val="21"/>
          <w:highlight w:val="none"/>
        </w:rPr>
        <w:t>201</w:t>
      </w:r>
      <w:r>
        <w:rPr>
          <w:rFonts w:hint="eastAsia" w:hAnsi="宋体"/>
          <w:color w:val="auto"/>
          <w:szCs w:val="21"/>
          <w:highlight w:val="none"/>
        </w:rPr>
        <w:t>9年</w:t>
      </w:r>
      <w:r>
        <w:rPr>
          <w:rFonts w:hint="eastAsia" w:hAnsi="宋体"/>
          <w:color w:val="auto"/>
          <w:szCs w:val="21"/>
          <w:highlight w:val="none"/>
          <w:lang w:val="en-US" w:eastAsia="zh-CN"/>
        </w:rPr>
        <w:t>8</w:t>
      </w:r>
      <w:r>
        <w:rPr>
          <w:rFonts w:hint="eastAsia" w:hAnsi="宋体"/>
          <w:color w:val="auto"/>
          <w:szCs w:val="21"/>
          <w:highlight w:val="none"/>
        </w:rPr>
        <w:t>月</w:t>
      </w:r>
      <w:r>
        <w:rPr>
          <w:rFonts w:hint="eastAsia" w:hAnsi="宋体"/>
          <w:color w:val="auto"/>
          <w:szCs w:val="21"/>
          <w:highlight w:val="none"/>
          <w:lang w:val="en-US" w:eastAsia="zh-CN"/>
        </w:rPr>
        <w:t>16</w:t>
      </w:r>
      <w:r>
        <w:rPr>
          <w:rFonts w:hint="eastAsia" w:hAnsi="宋体"/>
          <w:color w:val="auto"/>
          <w:szCs w:val="21"/>
          <w:highlight w:val="none"/>
        </w:rPr>
        <w:t>日</w:t>
      </w:r>
      <w:r>
        <w:rPr>
          <w:rFonts w:hAnsi="宋体"/>
          <w:color w:val="auto"/>
          <w:szCs w:val="21"/>
          <w:highlight w:val="none"/>
        </w:rPr>
        <w:t xml:space="preserve"> 08</w:t>
      </w:r>
      <w:r>
        <w:rPr>
          <w:rFonts w:hint="eastAsia" w:hAnsi="宋体"/>
          <w:color w:val="auto"/>
          <w:szCs w:val="21"/>
          <w:highlight w:val="none"/>
        </w:rPr>
        <w:t>时</w:t>
      </w:r>
      <w:r>
        <w:rPr>
          <w:rFonts w:hAnsi="宋体"/>
          <w:color w:val="auto"/>
          <w:szCs w:val="21"/>
          <w:highlight w:val="none"/>
        </w:rPr>
        <w:t xml:space="preserve"> 30</w:t>
      </w:r>
      <w:r>
        <w:rPr>
          <w:rFonts w:hint="eastAsia" w:hAnsi="宋体"/>
          <w:color w:val="auto"/>
          <w:szCs w:val="21"/>
          <w:highlight w:val="none"/>
        </w:rPr>
        <w:t>分至</w:t>
      </w:r>
      <w:r>
        <w:rPr>
          <w:rFonts w:hAnsi="宋体"/>
          <w:color w:val="auto"/>
          <w:szCs w:val="21"/>
          <w:highlight w:val="none"/>
        </w:rPr>
        <w:t>201</w:t>
      </w:r>
      <w:r>
        <w:rPr>
          <w:rFonts w:hint="eastAsia" w:hAnsi="宋体"/>
          <w:color w:val="auto"/>
          <w:szCs w:val="21"/>
          <w:highlight w:val="none"/>
        </w:rPr>
        <w:t>9年</w:t>
      </w:r>
      <w:r>
        <w:rPr>
          <w:rFonts w:hint="eastAsia" w:hAnsi="宋体"/>
          <w:color w:val="auto"/>
          <w:szCs w:val="21"/>
          <w:highlight w:val="none"/>
          <w:lang w:val="en-US" w:eastAsia="zh-CN"/>
        </w:rPr>
        <w:t>8</w:t>
      </w:r>
      <w:r>
        <w:rPr>
          <w:rFonts w:hint="eastAsia" w:hAnsi="宋体"/>
          <w:color w:val="auto"/>
          <w:szCs w:val="21"/>
          <w:highlight w:val="none"/>
        </w:rPr>
        <w:t>月</w:t>
      </w:r>
      <w:r>
        <w:rPr>
          <w:rFonts w:hint="eastAsia" w:hAnsi="宋体"/>
          <w:color w:val="auto"/>
          <w:szCs w:val="21"/>
          <w:highlight w:val="none"/>
          <w:lang w:val="en-US" w:eastAsia="zh-CN"/>
        </w:rPr>
        <w:t>22</w:t>
      </w:r>
      <w:r>
        <w:rPr>
          <w:rFonts w:hint="eastAsia" w:hAnsi="宋体"/>
          <w:color w:val="auto"/>
          <w:szCs w:val="21"/>
          <w:highlight w:val="none"/>
        </w:rPr>
        <w:t>日</w:t>
      </w:r>
      <w:r>
        <w:rPr>
          <w:rFonts w:hAnsi="宋体"/>
          <w:color w:val="auto"/>
          <w:szCs w:val="21"/>
          <w:highlight w:val="none"/>
        </w:rPr>
        <w:t>17</w:t>
      </w:r>
      <w:r>
        <w:rPr>
          <w:rFonts w:hint="eastAsia" w:hAnsi="宋体"/>
          <w:color w:val="auto"/>
          <w:szCs w:val="21"/>
          <w:highlight w:val="none"/>
        </w:rPr>
        <w:t>时</w:t>
      </w:r>
      <w:r>
        <w:rPr>
          <w:rFonts w:hAnsi="宋体"/>
          <w:color w:val="auto"/>
          <w:szCs w:val="21"/>
          <w:highlight w:val="none"/>
        </w:rPr>
        <w:t xml:space="preserve">30 </w:t>
      </w:r>
      <w:r>
        <w:rPr>
          <w:rFonts w:hint="eastAsia" w:hAnsi="宋体"/>
          <w:color w:val="auto"/>
          <w:szCs w:val="21"/>
          <w:highlight w:val="none"/>
        </w:rPr>
        <w:t>分</w:t>
      </w:r>
      <w:r>
        <w:rPr>
          <w:rFonts w:hint="eastAsia"/>
          <w:color w:val="auto"/>
          <w:szCs w:val="21"/>
          <w:highlight w:val="none"/>
        </w:rPr>
        <w:t>期间（办公时间内，法定节假日除外）到</w:t>
      </w:r>
      <w:r>
        <w:rPr>
          <w:rFonts w:hint="eastAsia" w:hAnsi="宋体"/>
          <w:bCs/>
          <w:color w:val="auto"/>
          <w:szCs w:val="21"/>
          <w:highlight w:val="none"/>
          <w:lang w:eastAsia="zh-CN"/>
        </w:rPr>
        <w:t>中山市建业建筑工程监理有限公司</w:t>
      </w:r>
      <w:r>
        <w:rPr>
          <w:rFonts w:hint="eastAsia"/>
          <w:color w:val="auto"/>
          <w:szCs w:val="21"/>
          <w:highlight w:val="none"/>
        </w:rPr>
        <w:t>（</w:t>
      </w:r>
      <w:r>
        <w:rPr>
          <w:rFonts w:hint="eastAsia" w:hAnsi="宋体"/>
          <w:color w:val="auto"/>
          <w:szCs w:val="21"/>
          <w:highlight w:val="none"/>
          <w:lang w:eastAsia="zh-CN"/>
        </w:rPr>
        <w:t>中山市东区中山四路53号工业楼4楼（即能龙大厦4楼）</w:t>
      </w:r>
      <w:r>
        <w:rPr>
          <w:rFonts w:hint="eastAsia"/>
          <w:color w:val="auto"/>
          <w:szCs w:val="21"/>
          <w:highlight w:val="none"/>
        </w:rPr>
        <w:t>）购买招标文件，招标文件每套售价</w:t>
      </w:r>
      <w:r>
        <w:rPr>
          <w:color w:val="auto"/>
          <w:szCs w:val="21"/>
          <w:highlight w:val="none"/>
        </w:rPr>
        <w:t>300</w:t>
      </w:r>
      <w:r>
        <w:rPr>
          <w:rFonts w:hint="eastAsia"/>
          <w:color w:val="auto"/>
          <w:szCs w:val="21"/>
          <w:highlight w:val="none"/>
        </w:rPr>
        <w:t>元（人民币），售后不退。</w:t>
      </w:r>
    </w:p>
    <w:p>
      <w:pPr>
        <w:spacing w:line="360" w:lineRule="auto"/>
        <w:ind w:left="420" w:leftChars="200"/>
        <w:jc w:val="both"/>
        <w:rPr>
          <w:color w:val="auto"/>
          <w:szCs w:val="21"/>
          <w:highlight w:val="none"/>
        </w:rPr>
      </w:pPr>
      <w:r>
        <w:rPr>
          <w:rFonts w:hint="eastAsia"/>
          <w:color w:val="auto"/>
          <w:szCs w:val="21"/>
          <w:highlight w:val="none"/>
        </w:rPr>
        <w:t>购买招标文件须提供以下资料：</w:t>
      </w:r>
      <w:r>
        <w:rPr>
          <w:color w:val="auto"/>
          <w:szCs w:val="21"/>
          <w:highlight w:val="none"/>
        </w:rPr>
        <w:t>1</w:t>
      </w:r>
      <w:r>
        <w:rPr>
          <w:rFonts w:hint="eastAsia"/>
          <w:color w:val="auto"/>
          <w:szCs w:val="21"/>
          <w:highlight w:val="none"/>
        </w:rPr>
        <w:t>）营业执照或证明材料复印件；</w:t>
      </w:r>
      <w:r>
        <w:rPr>
          <w:color w:val="auto"/>
          <w:szCs w:val="21"/>
          <w:highlight w:val="none"/>
        </w:rPr>
        <w:t>2</w:t>
      </w:r>
      <w:r>
        <w:rPr>
          <w:rFonts w:hint="eastAsia"/>
          <w:color w:val="auto"/>
          <w:szCs w:val="21"/>
          <w:highlight w:val="none"/>
        </w:rPr>
        <w:t>）</w:t>
      </w:r>
      <w:r>
        <w:t>建筑机电安装工程专业承包</w:t>
      </w:r>
      <w:r>
        <w:rPr>
          <w:rFonts w:hint="eastAsia"/>
          <w:lang w:eastAsia="zh-CN"/>
        </w:rPr>
        <w:t>资质复印件；</w:t>
      </w:r>
      <w:r>
        <w:rPr>
          <w:rFonts w:hint="eastAsia"/>
          <w:lang w:val="en-US" w:eastAsia="zh-CN"/>
        </w:rPr>
        <w:t>3）</w:t>
      </w:r>
      <w:r>
        <w:t>有效期内安全生产许可证</w:t>
      </w:r>
      <w:r>
        <w:rPr>
          <w:rFonts w:hint="eastAsia"/>
          <w:lang w:eastAsia="zh-CN"/>
        </w:rPr>
        <w:t>复印件；</w:t>
      </w:r>
      <w:r>
        <w:rPr>
          <w:rFonts w:hint="eastAsia"/>
          <w:lang w:val="en-US" w:eastAsia="zh-CN"/>
        </w:rPr>
        <w:t>4）</w:t>
      </w:r>
      <w:r>
        <w:rPr>
          <w:rFonts w:hint="eastAsia" w:ascii="宋体" w:hAnsi="宋体"/>
          <w:color w:val="auto"/>
          <w:szCs w:val="21"/>
          <w:highlight w:val="none"/>
        </w:rPr>
        <w:t>承装类承装（修）电力设施许可证</w:t>
      </w:r>
      <w:r>
        <w:rPr>
          <w:rFonts w:hint="eastAsia" w:ascii="宋体" w:hAnsi="宋体"/>
          <w:color w:val="auto"/>
          <w:szCs w:val="21"/>
          <w:highlight w:val="none"/>
          <w:lang w:eastAsia="zh-CN"/>
        </w:rPr>
        <w:t>复印件；</w:t>
      </w:r>
      <w:r>
        <w:rPr>
          <w:rFonts w:hint="eastAsia" w:ascii="宋体" w:hAnsi="宋体"/>
          <w:color w:val="auto"/>
          <w:szCs w:val="21"/>
          <w:highlight w:val="none"/>
          <w:lang w:val="en-US" w:eastAsia="zh-CN"/>
        </w:rPr>
        <w:t>5）</w:t>
      </w:r>
      <w:r>
        <w:rPr>
          <w:rFonts w:hint="eastAsia"/>
          <w:color w:val="auto"/>
          <w:szCs w:val="21"/>
          <w:highlight w:val="none"/>
        </w:rPr>
        <w:t>购买人身份证复印件。</w:t>
      </w:r>
      <w:r>
        <w:rPr>
          <w:rFonts w:hint="eastAsia"/>
          <w:b/>
          <w:bCs/>
          <w:color w:val="auto"/>
          <w:szCs w:val="21"/>
          <w:highlight w:val="none"/>
          <w:lang w:eastAsia="zh-CN"/>
        </w:rPr>
        <w:t>（注：</w:t>
      </w:r>
      <w:r>
        <w:rPr>
          <w:rFonts w:hint="eastAsia"/>
          <w:b/>
          <w:bCs/>
          <w:color w:val="auto"/>
          <w:szCs w:val="21"/>
          <w:highlight w:val="none"/>
        </w:rPr>
        <w:t>所有复印件</w:t>
      </w:r>
      <w:r>
        <w:rPr>
          <w:rFonts w:hint="eastAsia"/>
          <w:b/>
          <w:bCs/>
          <w:color w:val="auto"/>
          <w:szCs w:val="21"/>
          <w:highlight w:val="none"/>
          <w:lang w:eastAsia="zh-CN"/>
        </w:rPr>
        <w:t>均须</w:t>
      </w:r>
      <w:r>
        <w:rPr>
          <w:rFonts w:hint="eastAsia"/>
          <w:b/>
          <w:bCs/>
          <w:color w:val="auto"/>
          <w:szCs w:val="21"/>
          <w:highlight w:val="none"/>
        </w:rPr>
        <w:t>加盖公章</w:t>
      </w:r>
      <w:r>
        <w:rPr>
          <w:rFonts w:hint="eastAsia"/>
          <w:b/>
          <w:bCs/>
          <w:color w:val="auto"/>
          <w:szCs w:val="21"/>
          <w:highlight w:val="none"/>
          <w:lang w:eastAsia="zh-CN"/>
        </w:rPr>
        <w:t>）</w:t>
      </w:r>
      <w:r>
        <w:rPr>
          <w:rFonts w:hint="eastAsia"/>
          <w:color w:val="auto"/>
          <w:szCs w:val="21"/>
          <w:highlight w:val="none"/>
        </w:rPr>
        <w:t>。</w:t>
      </w:r>
    </w:p>
    <w:p>
      <w:pPr>
        <w:spacing w:line="360" w:lineRule="auto"/>
        <w:jc w:val="both"/>
        <w:rPr>
          <w:rFonts w:hAnsi="宋体"/>
          <w:color w:val="auto"/>
          <w:szCs w:val="21"/>
          <w:highlight w:val="none"/>
        </w:rPr>
      </w:pPr>
      <w:r>
        <w:rPr>
          <w:rFonts w:hint="eastAsia" w:hAnsi="宋体"/>
          <w:color w:val="auto"/>
          <w:szCs w:val="21"/>
          <w:highlight w:val="none"/>
        </w:rPr>
        <w:t>十、</w:t>
      </w:r>
      <w:r>
        <w:rPr>
          <w:rFonts w:hint="eastAsia" w:hAnsi="宋体"/>
          <w:color w:val="auto"/>
          <w:szCs w:val="21"/>
          <w:highlight w:val="none"/>
          <w:lang w:eastAsia="zh-CN"/>
        </w:rPr>
        <w:t>接收</w:t>
      </w:r>
      <w:r>
        <w:rPr>
          <w:rFonts w:hint="eastAsia" w:hAnsi="宋体"/>
          <w:color w:val="auto"/>
          <w:szCs w:val="21"/>
          <w:highlight w:val="none"/>
        </w:rPr>
        <w:t>投标</w:t>
      </w:r>
      <w:r>
        <w:rPr>
          <w:rFonts w:hint="eastAsia" w:hAnsi="宋体"/>
          <w:color w:val="auto"/>
          <w:szCs w:val="21"/>
          <w:highlight w:val="none"/>
          <w:lang w:eastAsia="zh-CN"/>
        </w:rPr>
        <w:t>文件</w:t>
      </w:r>
      <w:r>
        <w:rPr>
          <w:rFonts w:hint="eastAsia" w:hAnsi="宋体"/>
          <w:color w:val="auto"/>
          <w:szCs w:val="21"/>
          <w:highlight w:val="none"/>
        </w:rPr>
        <w:t>时间：</w:t>
      </w:r>
      <w:r>
        <w:rPr>
          <w:rFonts w:hAnsi="宋体"/>
          <w:color w:val="auto"/>
          <w:szCs w:val="21"/>
          <w:highlight w:val="none"/>
        </w:rPr>
        <w:t>201</w:t>
      </w:r>
      <w:r>
        <w:rPr>
          <w:rFonts w:hint="eastAsia" w:hAnsi="宋体"/>
          <w:color w:val="auto"/>
          <w:szCs w:val="21"/>
          <w:highlight w:val="none"/>
        </w:rPr>
        <w:t>9年</w:t>
      </w:r>
      <w:r>
        <w:rPr>
          <w:rFonts w:hint="eastAsia" w:hAnsi="宋体"/>
          <w:color w:val="auto"/>
          <w:szCs w:val="21"/>
          <w:highlight w:val="none"/>
          <w:lang w:val="en-US" w:eastAsia="zh-CN"/>
        </w:rPr>
        <w:t>9</w:t>
      </w:r>
      <w:r>
        <w:rPr>
          <w:rFonts w:hint="eastAsia" w:hAnsi="宋体"/>
          <w:color w:val="auto"/>
          <w:szCs w:val="21"/>
          <w:highlight w:val="none"/>
        </w:rPr>
        <w:t>月</w:t>
      </w:r>
      <w:r>
        <w:rPr>
          <w:rFonts w:hint="eastAsia" w:hAnsi="宋体"/>
          <w:color w:val="auto"/>
          <w:szCs w:val="21"/>
          <w:highlight w:val="none"/>
          <w:lang w:val="en-US" w:eastAsia="zh-CN"/>
        </w:rPr>
        <w:t>9</w:t>
      </w:r>
      <w:r>
        <w:rPr>
          <w:rFonts w:hint="eastAsia" w:hAnsi="宋体"/>
          <w:color w:val="auto"/>
          <w:szCs w:val="21"/>
          <w:highlight w:val="none"/>
        </w:rPr>
        <w:t>日</w:t>
      </w:r>
      <w:r>
        <w:rPr>
          <w:rFonts w:hint="eastAsia" w:hAnsi="宋体"/>
          <w:color w:val="auto"/>
          <w:szCs w:val="21"/>
          <w:highlight w:val="none"/>
          <w:lang w:val="en-US" w:eastAsia="zh-CN"/>
        </w:rPr>
        <w:t>14</w:t>
      </w:r>
      <w:r>
        <w:rPr>
          <w:rFonts w:hint="eastAsia" w:hAnsi="宋体"/>
          <w:color w:val="auto"/>
          <w:szCs w:val="21"/>
          <w:highlight w:val="none"/>
        </w:rPr>
        <w:t>时</w:t>
      </w:r>
      <w:r>
        <w:rPr>
          <w:rFonts w:hint="eastAsia" w:hAnsi="宋体"/>
          <w:color w:val="auto"/>
          <w:szCs w:val="21"/>
          <w:highlight w:val="none"/>
          <w:lang w:val="en-US" w:eastAsia="zh-CN"/>
        </w:rPr>
        <w:t>30</w:t>
      </w:r>
      <w:r>
        <w:rPr>
          <w:rFonts w:hint="eastAsia" w:hAnsi="宋体"/>
          <w:color w:val="auto"/>
          <w:szCs w:val="21"/>
          <w:highlight w:val="none"/>
        </w:rPr>
        <w:t>分至</w:t>
      </w:r>
      <w:r>
        <w:rPr>
          <w:rFonts w:hAnsi="宋体"/>
          <w:color w:val="auto"/>
          <w:szCs w:val="21"/>
          <w:highlight w:val="none"/>
        </w:rPr>
        <w:t>201</w:t>
      </w:r>
      <w:r>
        <w:rPr>
          <w:rFonts w:hint="eastAsia" w:hAnsi="宋体"/>
          <w:color w:val="auto"/>
          <w:szCs w:val="21"/>
          <w:highlight w:val="none"/>
        </w:rPr>
        <w:t>9年</w:t>
      </w:r>
      <w:r>
        <w:rPr>
          <w:rFonts w:hint="eastAsia" w:hAnsi="宋体"/>
          <w:color w:val="auto"/>
          <w:szCs w:val="21"/>
          <w:highlight w:val="none"/>
          <w:lang w:val="en-US" w:eastAsia="zh-CN"/>
        </w:rPr>
        <w:t>9</w:t>
      </w:r>
      <w:r>
        <w:rPr>
          <w:rFonts w:hint="eastAsia" w:hAnsi="宋体"/>
          <w:color w:val="auto"/>
          <w:szCs w:val="21"/>
          <w:highlight w:val="none"/>
        </w:rPr>
        <w:t>月</w:t>
      </w:r>
      <w:r>
        <w:rPr>
          <w:rFonts w:hint="eastAsia" w:hAnsi="宋体"/>
          <w:color w:val="auto"/>
          <w:szCs w:val="21"/>
          <w:highlight w:val="none"/>
          <w:lang w:val="en-US" w:eastAsia="zh-CN"/>
        </w:rPr>
        <w:t>9</w:t>
      </w:r>
      <w:r>
        <w:rPr>
          <w:rFonts w:hint="eastAsia" w:hAnsi="宋体"/>
          <w:color w:val="auto"/>
          <w:szCs w:val="21"/>
          <w:highlight w:val="none"/>
        </w:rPr>
        <w:t>日</w:t>
      </w:r>
      <w:r>
        <w:rPr>
          <w:rFonts w:hint="eastAsia" w:hAnsi="宋体"/>
          <w:color w:val="auto"/>
          <w:szCs w:val="21"/>
          <w:highlight w:val="none"/>
          <w:lang w:val="en-US" w:eastAsia="zh-CN"/>
        </w:rPr>
        <w:t>15</w:t>
      </w:r>
      <w:r>
        <w:rPr>
          <w:rFonts w:hint="eastAsia" w:hAnsi="宋体"/>
          <w:color w:val="auto"/>
          <w:szCs w:val="21"/>
          <w:highlight w:val="none"/>
        </w:rPr>
        <w:t>时</w:t>
      </w:r>
      <w:r>
        <w:rPr>
          <w:rFonts w:hint="eastAsia" w:hAnsi="宋体"/>
          <w:color w:val="auto"/>
          <w:szCs w:val="21"/>
          <w:highlight w:val="none"/>
          <w:lang w:val="en-US" w:eastAsia="zh-CN"/>
        </w:rPr>
        <w:t>00</w:t>
      </w:r>
      <w:r>
        <w:rPr>
          <w:rFonts w:hint="eastAsia" w:hAnsi="宋体"/>
          <w:color w:val="auto"/>
          <w:szCs w:val="21"/>
          <w:highlight w:val="none"/>
        </w:rPr>
        <w:t>分。</w:t>
      </w:r>
    </w:p>
    <w:p>
      <w:pPr>
        <w:spacing w:line="460" w:lineRule="exact"/>
        <w:ind w:left="420" w:hanging="420" w:hangingChars="200"/>
        <w:jc w:val="both"/>
        <w:rPr>
          <w:rFonts w:hAnsi="宋体"/>
          <w:color w:val="auto"/>
          <w:szCs w:val="21"/>
          <w:highlight w:val="none"/>
        </w:rPr>
      </w:pPr>
      <w:r>
        <w:rPr>
          <w:rFonts w:hint="eastAsia" w:hAnsi="宋体"/>
          <w:color w:val="auto"/>
          <w:szCs w:val="21"/>
          <w:highlight w:val="none"/>
        </w:rPr>
        <w:t>十一、提交投标文件地点：</w:t>
      </w:r>
      <w:r>
        <w:rPr>
          <w:rFonts w:hint="eastAsia" w:hAnsi="宋体"/>
          <w:color w:val="auto"/>
          <w:szCs w:val="21"/>
          <w:highlight w:val="none"/>
          <w:lang w:eastAsia="zh-CN"/>
        </w:rPr>
        <w:t>中山市东区中山四路53号工业楼4楼（即能龙大厦4楼）</w:t>
      </w:r>
      <w:r>
        <w:rPr>
          <w:rFonts w:hint="eastAsia" w:hAnsi="宋体"/>
          <w:color w:val="auto"/>
          <w:szCs w:val="21"/>
          <w:highlight w:val="none"/>
        </w:rPr>
        <w:t xml:space="preserve"> </w:t>
      </w:r>
      <w:r>
        <w:rPr>
          <w:rFonts w:hint="eastAsia" w:hAnsi="宋体"/>
          <w:color w:val="auto"/>
          <w:szCs w:val="21"/>
          <w:highlight w:val="none"/>
          <w:lang w:eastAsia="zh-CN"/>
        </w:rPr>
        <w:t>中山市建业建筑工程监理有限公司</w:t>
      </w:r>
      <w:r>
        <w:rPr>
          <w:rFonts w:hint="eastAsia" w:hAnsi="宋体"/>
          <w:color w:val="auto"/>
          <w:szCs w:val="21"/>
          <w:highlight w:val="none"/>
        </w:rPr>
        <w:t>。</w:t>
      </w:r>
    </w:p>
    <w:p>
      <w:pPr>
        <w:spacing w:line="460" w:lineRule="exact"/>
        <w:jc w:val="both"/>
        <w:rPr>
          <w:rFonts w:hint="eastAsia" w:eastAsia="宋体"/>
          <w:color w:val="auto"/>
          <w:sz w:val="24"/>
          <w:szCs w:val="24"/>
          <w:highlight w:val="none"/>
          <w:lang w:eastAsia="zh-CN"/>
        </w:rPr>
      </w:pPr>
      <w:r>
        <w:rPr>
          <w:rFonts w:hint="eastAsia" w:hAnsi="宋体"/>
          <w:color w:val="auto"/>
          <w:szCs w:val="21"/>
          <w:highlight w:val="none"/>
        </w:rPr>
        <w:t>十二、开标时间：</w:t>
      </w:r>
      <w:r>
        <w:rPr>
          <w:rFonts w:hAnsi="宋体"/>
          <w:color w:val="auto"/>
          <w:szCs w:val="21"/>
          <w:highlight w:val="none"/>
        </w:rPr>
        <w:t>201</w:t>
      </w:r>
      <w:r>
        <w:rPr>
          <w:rFonts w:hint="eastAsia" w:hAnsi="宋体"/>
          <w:color w:val="auto"/>
          <w:szCs w:val="21"/>
          <w:highlight w:val="none"/>
        </w:rPr>
        <w:t>9年</w:t>
      </w:r>
      <w:r>
        <w:rPr>
          <w:rFonts w:hint="eastAsia" w:hAnsi="宋体"/>
          <w:color w:val="auto"/>
          <w:szCs w:val="21"/>
          <w:highlight w:val="none"/>
          <w:lang w:val="en-US" w:eastAsia="zh-CN"/>
        </w:rPr>
        <w:t>9</w:t>
      </w:r>
      <w:r>
        <w:rPr>
          <w:rFonts w:hint="eastAsia" w:hAnsi="宋体"/>
          <w:color w:val="auto"/>
          <w:szCs w:val="21"/>
          <w:highlight w:val="none"/>
        </w:rPr>
        <w:t>月</w:t>
      </w:r>
      <w:r>
        <w:rPr>
          <w:rFonts w:hint="eastAsia" w:hAnsi="宋体"/>
          <w:color w:val="auto"/>
          <w:szCs w:val="21"/>
          <w:highlight w:val="none"/>
          <w:lang w:val="en-US" w:eastAsia="zh-CN"/>
        </w:rPr>
        <w:t>9</w:t>
      </w:r>
      <w:r>
        <w:rPr>
          <w:rFonts w:hint="eastAsia" w:hAnsi="宋体"/>
          <w:color w:val="auto"/>
          <w:szCs w:val="21"/>
          <w:highlight w:val="none"/>
        </w:rPr>
        <w:t>日</w:t>
      </w:r>
      <w:r>
        <w:rPr>
          <w:rFonts w:hint="eastAsia" w:hAnsi="宋体"/>
          <w:color w:val="auto"/>
          <w:szCs w:val="21"/>
          <w:highlight w:val="none"/>
          <w:lang w:val="en-US" w:eastAsia="zh-CN"/>
        </w:rPr>
        <w:t>15</w:t>
      </w:r>
      <w:r>
        <w:rPr>
          <w:rFonts w:hint="eastAsia" w:hAnsi="宋体"/>
          <w:color w:val="auto"/>
          <w:szCs w:val="21"/>
          <w:highlight w:val="none"/>
        </w:rPr>
        <w:t>时</w:t>
      </w:r>
      <w:r>
        <w:rPr>
          <w:rFonts w:hint="eastAsia" w:hAnsi="宋体"/>
          <w:color w:val="auto"/>
          <w:szCs w:val="21"/>
          <w:highlight w:val="none"/>
          <w:lang w:val="en-US" w:eastAsia="zh-CN"/>
        </w:rPr>
        <w:t>00</w:t>
      </w:r>
      <w:r>
        <w:rPr>
          <w:rFonts w:hint="eastAsia" w:hAnsi="宋体"/>
          <w:color w:val="auto"/>
          <w:szCs w:val="21"/>
          <w:highlight w:val="none"/>
        </w:rPr>
        <w:t>分。</w:t>
      </w:r>
    </w:p>
    <w:p>
      <w:pPr>
        <w:spacing w:line="460" w:lineRule="exact"/>
        <w:ind w:left="630" w:hanging="630" w:hangingChars="300"/>
        <w:jc w:val="both"/>
        <w:rPr>
          <w:rFonts w:hAnsi="宋体"/>
          <w:color w:val="auto"/>
          <w:szCs w:val="21"/>
          <w:highlight w:val="none"/>
        </w:rPr>
      </w:pPr>
      <w:r>
        <w:rPr>
          <w:rFonts w:hint="eastAsia" w:hAnsi="宋体"/>
          <w:color w:val="auto"/>
          <w:szCs w:val="21"/>
          <w:highlight w:val="none"/>
        </w:rPr>
        <w:t>十三、开标地点：</w:t>
      </w:r>
      <w:r>
        <w:rPr>
          <w:rFonts w:hint="eastAsia" w:hAnsi="宋体"/>
          <w:color w:val="auto"/>
          <w:szCs w:val="21"/>
          <w:highlight w:val="none"/>
          <w:lang w:eastAsia="zh-CN"/>
        </w:rPr>
        <w:t>中山市东区中山四路53号工业楼4楼（即能龙大厦4楼）</w:t>
      </w:r>
      <w:r>
        <w:rPr>
          <w:rFonts w:hint="eastAsia" w:hAnsi="宋体"/>
          <w:color w:val="auto"/>
          <w:szCs w:val="21"/>
          <w:highlight w:val="none"/>
        </w:rPr>
        <w:t xml:space="preserve"> </w:t>
      </w:r>
      <w:r>
        <w:rPr>
          <w:rFonts w:hint="eastAsia" w:hAnsi="宋体"/>
          <w:color w:val="auto"/>
          <w:szCs w:val="21"/>
          <w:highlight w:val="none"/>
          <w:lang w:eastAsia="zh-CN"/>
        </w:rPr>
        <w:t>中山市建业建筑工程监理有限公司</w:t>
      </w:r>
      <w:r>
        <w:rPr>
          <w:rFonts w:hint="eastAsia" w:hAnsi="宋体"/>
          <w:color w:val="auto"/>
          <w:szCs w:val="21"/>
          <w:highlight w:val="none"/>
        </w:rPr>
        <w:t>。</w:t>
      </w:r>
    </w:p>
    <w:p>
      <w:pPr>
        <w:spacing w:line="460" w:lineRule="exact"/>
        <w:rPr>
          <w:color w:val="auto"/>
          <w:szCs w:val="21"/>
          <w:highlight w:val="none"/>
        </w:rPr>
      </w:pPr>
      <w:r>
        <w:rPr>
          <w:rFonts w:hint="eastAsia" w:hAnsi="宋体"/>
          <w:color w:val="auto"/>
          <w:szCs w:val="21"/>
          <w:highlight w:val="none"/>
        </w:rPr>
        <w:t>十四、</w:t>
      </w:r>
      <w:r>
        <w:rPr>
          <w:rFonts w:hint="eastAsia"/>
          <w:color w:val="auto"/>
          <w:szCs w:val="21"/>
          <w:highlight w:val="none"/>
        </w:rPr>
        <w:t>本公告期限自</w:t>
      </w:r>
      <w:r>
        <w:rPr>
          <w:color w:val="auto"/>
          <w:szCs w:val="21"/>
          <w:highlight w:val="none"/>
        </w:rPr>
        <w:t xml:space="preserve"> 201</w:t>
      </w:r>
      <w:r>
        <w:rPr>
          <w:rFonts w:hint="eastAsia"/>
          <w:color w:val="auto"/>
          <w:szCs w:val="21"/>
          <w:highlight w:val="none"/>
        </w:rPr>
        <w:t>9年</w:t>
      </w:r>
      <w:r>
        <w:rPr>
          <w:rFonts w:hint="eastAsia"/>
          <w:color w:val="auto"/>
          <w:szCs w:val="21"/>
          <w:highlight w:val="none"/>
          <w:lang w:val="en-US" w:eastAsia="zh-CN"/>
        </w:rPr>
        <w:t>8</w:t>
      </w:r>
      <w:r>
        <w:rPr>
          <w:rFonts w:hint="eastAsia"/>
          <w:color w:val="auto"/>
          <w:szCs w:val="21"/>
          <w:highlight w:val="none"/>
        </w:rPr>
        <w:t>月</w:t>
      </w:r>
      <w:r>
        <w:rPr>
          <w:rFonts w:hint="eastAsia"/>
          <w:color w:val="auto"/>
          <w:szCs w:val="21"/>
          <w:highlight w:val="none"/>
          <w:lang w:val="en-US" w:eastAsia="zh-CN"/>
        </w:rPr>
        <w:t>16</w:t>
      </w:r>
      <w:r>
        <w:rPr>
          <w:rFonts w:hint="eastAsia"/>
          <w:color w:val="auto"/>
          <w:szCs w:val="21"/>
          <w:highlight w:val="none"/>
        </w:rPr>
        <w:t>日至</w:t>
      </w:r>
      <w:r>
        <w:rPr>
          <w:color w:val="auto"/>
          <w:szCs w:val="21"/>
          <w:highlight w:val="none"/>
        </w:rPr>
        <w:t xml:space="preserve"> 201</w:t>
      </w:r>
      <w:r>
        <w:rPr>
          <w:rFonts w:hint="eastAsia"/>
          <w:color w:val="auto"/>
          <w:szCs w:val="21"/>
          <w:highlight w:val="none"/>
        </w:rPr>
        <w:t>9年</w:t>
      </w:r>
      <w:r>
        <w:rPr>
          <w:rFonts w:hint="eastAsia"/>
          <w:color w:val="auto"/>
          <w:szCs w:val="21"/>
          <w:highlight w:val="none"/>
          <w:lang w:val="en-US" w:eastAsia="zh-CN"/>
        </w:rPr>
        <w:t>8</w:t>
      </w:r>
      <w:r>
        <w:rPr>
          <w:rFonts w:hint="eastAsia"/>
          <w:color w:val="auto"/>
          <w:szCs w:val="21"/>
          <w:highlight w:val="none"/>
        </w:rPr>
        <w:t>月</w:t>
      </w:r>
      <w:r>
        <w:rPr>
          <w:rFonts w:hint="eastAsia"/>
          <w:color w:val="auto"/>
          <w:szCs w:val="21"/>
          <w:highlight w:val="none"/>
          <w:lang w:val="en-US" w:eastAsia="zh-CN"/>
        </w:rPr>
        <w:t>22</w:t>
      </w:r>
      <w:r>
        <w:rPr>
          <w:rFonts w:hint="eastAsia"/>
          <w:color w:val="auto"/>
          <w:szCs w:val="21"/>
          <w:highlight w:val="none"/>
        </w:rPr>
        <w:t>日止。</w:t>
      </w:r>
    </w:p>
    <w:p>
      <w:pPr>
        <w:spacing w:line="460" w:lineRule="exact"/>
        <w:jc w:val="both"/>
        <w:rPr>
          <w:rFonts w:hAnsi="宋体"/>
          <w:color w:val="auto"/>
          <w:szCs w:val="21"/>
          <w:highlight w:val="none"/>
        </w:rPr>
      </w:pPr>
      <w:r>
        <w:rPr>
          <w:rFonts w:hint="eastAsia" w:hAnsi="宋体"/>
          <w:color w:val="auto"/>
          <w:szCs w:val="21"/>
          <w:highlight w:val="none"/>
        </w:rPr>
        <w:t>十五、联系事项：</w:t>
      </w:r>
    </w:p>
    <w:p>
      <w:pPr>
        <w:tabs>
          <w:tab w:val="left" w:pos="530"/>
        </w:tabs>
        <w:spacing w:line="360" w:lineRule="auto"/>
        <w:ind w:left="-886" w:leftChars="-422" w:firstLine="1260" w:firstLineChars="600"/>
        <w:rPr>
          <w:rFonts w:ascii="宋体"/>
          <w:color w:val="auto"/>
          <w:szCs w:val="21"/>
          <w:highlight w:val="none"/>
        </w:rPr>
      </w:pPr>
      <w:r>
        <w:rPr>
          <w:rFonts w:hint="eastAsia" w:ascii="宋体"/>
          <w:color w:val="auto"/>
          <w:szCs w:val="21"/>
          <w:highlight w:val="none"/>
        </w:rPr>
        <w:t>采购人、采购代理机构的名称、地址和联系方式。</w:t>
      </w:r>
    </w:p>
    <w:p>
      <w:pPr>
        <w:numPr>
          <w:ilvl w:val="0"/>
          <w:numId w:val="17"/>
        </w:numPr>
        <w:tabs>
          <w:tab w:val="left" w:pos="530"/>
          <w:tab w:val="clear" w:pos="420"/>
        </w:tabs>
        <w:spacing w:line="360" w:lineRule="auto"/>
        <w:ind w:left="530" w:hanging="530"/>
        <w:rPr>
          <w:rFonts w:ascii="宋体"/>
          <w:color w:val="auto"/>
          <w:highlight w:val="none"/>
        </w:rPr>
      </w:pPr>
      <w:r>
        <w:rPr>
          <w:rFonts w:hint="eastAsia" w:ascii="宋体"/>
          <w:color w:val="auto"/>
          <w:highlight w:val="none"/>
        </w:rPr>
        <w:t>采购人名称：</w:t>
      </w:r>
      <w:r>
        <w:rPr>
          <w:rFonts w:hint="eastAsia" w:ascii="宋体"/>
          <w:color w:val="auto"/>
          <w:kern w:val="28"/>
          <w:szCs w:val="21"/>
          <w:highlight w:val="none"/>
          <w:lang w:eastAsia="zh-CN"/>
        </w:rPr>
        <w:t>中山市坦洲镇集体资产经营有限公司</w:t>
      </w:r>
    </w:p>
    <w:p>
      <w:pPr>
        <w:spacing w:line="312" w:lineRule="auto"/>
        <w:ind w:firstLine="525" w:firstLineChars="250"/>
        <w:rPr>
          <w:rFonts w:hint="eastAsia" w:ascii="宋体" w:eastAsia="宋体" w:cs="宋体"/>
          <w:color w:val="auto"/>
          <w:szCs w:val="21"/>
          <w:lang w:eastAsia="zh-CN"/>
        </w:rPr>
      </w:pPr>
      <w:r>
        <w:rPr>
          <w:rFonts w:hint="eastAsia" w:ascii="宋体" w:cs="宋体"/>
          <w:color w:val="auto"/>
          <w:szCs w:val="21"/>
        </w:rPr>
        <w:t>联系人：</w:t>
      </w:r>
      <w:r>
        <w:rPr>
          <w:rFonts w:hint="eastAsia" w:ascii="宋体" w:cs="宋体"/>
          <w:color w:val="auto"/>
          <w:szCs w:val="21"/>
          <w:lang w:val="en-US" w:eastAsia="zh-CN"/>
        </w:rPr>
        <w:t xml:space="preserve"> 麦先生</w:t>
      </w:r>
    </w:p>
    <w:p>
      <w:pPr>
        <w:spacing w:line="312" w:lineRule="auto"/>
        <w:ind w:firstLine="525" w:firstLineChars="250"/>
        <w:rPr>
          <w:rFonts w:ascii="宋体" w:cs="宋体"/>
          <w:color w:val="auto"/>
          <w:szCs w:val="21"/>
          <w:highlight w:val="none"/>
        </w:rPr>
      </w:pPr>
      <w:r>
        <w:rPr>
          <w:rFonts w:hint="eastAsia" w:ascii="宋体" w:cs="宋体"/>
          <w:color w:val="auto"/>
          <w:szCs w:val="21"/>
        </w:rPr>
        <w:t>电</w:t>
      </w:r>
      <w:r>
        <w:rPr>
          <w:rFonts w:hint="eastAsia" w:ascii="宋体" w:cs="宋体"/>
          <w:color w:val="auto"/>
          <w:szCs w:val="21"/>
          <w:lang w:val="en-US" w:eastAsia="zh-CN"/>
        </w:rPr>
        <w:t xml:space="preserve">  </w:t>
      </w:r>
      <w:r>
        <w:rPr>
          <w:rFonts w:hint="eastAsia" w:ascii="宋体" w:cs="宋体"/>
          <w:color w:val="auto"/>
          <w:szCs w:val="21"/>
        </w:rPr>
        <w:t>话：</w:t>
      </w:r>
      <w:r>
        <w:rPr>
          <w:rFonts w:hint="eastAsia" w:ascii="宋体"/>
          <w:color w:val="auto"/>
          <w:szCs w:val="21"/>
          <w:lang w:val="en-US" w:eastAsia="zh-CN"/>
        </w:rPr>
        <w:t xml:space="preserve"> </w:t>
      </w:r>
      <w:r>
        <w:rPr>
          <w:rFonts w:hint="eastAsia" w:ascii="宋体"/>
          <w:color w:val="auto"/>
          <w:szCs w:val="21"/>
          <w:highlight w:val="none"/>
          <w:lang w:val="en-US" w:eastAsia="zh-CN"/>
        </w:rPr>
        <w:t>0760</w:t>
      </w:r>
      <w:r>
        <w:rPr>
          <w:rFonts w:hint="eastAsia" w:ascii="宋体"/>
          <w:color w:val="auto"/>
          <w:szCs w:val="21"/>
          <w:highlight w:val="none"/>
          <w:u w:val="none"/>
          <w:lang w:val="en-US" w:eastAsia="zh-CN"/>
        </w:rPr>
        <w:t>-</w:t>
      </w:r>
      <w:r>
        <w:rPr>
          <w:rFonts w:hint="eastAsia" w:ascii="宋体" w:hAnsi="宋体"/>
          <w:szCs w:val="21"/>
          <w:u w:val="none"/>
          <w:lang w:val="en-US" w:eastAsia="zh-CN"/>
        </w:rPr>
        <w:t>86651237</w:t>
      </w:r>
    </w:p>
    <w:p>
      <w:pPr>
        <w:numPr>
          <w:ilvl w:val="0"/>
          <w:numId w:val="17"/>
        </w:numPr>
        <w:spacing w:line="312" w:lineRule="auto"/>
        <w:ind w:left="530" w:hanging="530"/>
        <w:rPr>
          <w:rFonts w:ascii="宋体"/>
          <w:color w:val="auto"/>
          <w:highlight w:val="none"/>
        </w:rPr>
      </w:pPr>
      <w:r>
        <w:rPr>
          <w:rFonts w:hint="eastAsia" w:ascii="宋体"/>
          <w:color w:val="auto"/>
          <w:highlight w:val="none"/>
        </w:rPr>
        <w:t>采购代理机构名称：</w:t>
      </w:r>
      <w:r>
        <w:rPr>
          <w:rFonts w:hint="eastAsia" w:ascii="宋体"/>
          <w:color w:val="auto"/>
          <w:highlight w:val="none"/>
          <w:lang w:eastAsia="zh-CN"/>
        </w:rPr>
        <w:t>中山市建业建筑工程监理有限公司</w:t>
      </w:r>
    </w:p>
    <w:p>
      <w:pPr>
        <w:spacing w:line="360" w:lineRule="auto"/>
        <w:ind w:firstLine="530"/>
        <w:rPr>
          <w:rFonts w:hint="eastAsia" w:ascii="宋体"/>
          <w:color w:val="auto"/>
          <w:szCs w:val="21"/>
          <w:lang w:eastAsia="zh-CN"/>
        </w:rPr>
      </w:pPr>
      <w:r>
        <w:rPr>
          <w:rFonts w:hint="eastAsia" w:ascii="宋体"/>
          <w:color w:val="auto"/>
          <w:szCs w:val="21"/>
        </w:rPr>
        <w:t>联系人：</w:t>
      </w:r>
      <w:r>
        <w:rPr>
          <w:rFonts w:hint="eastAsia" w:ascii="宋体"/>
          <w:color w:val="auto"/>
          <w:szCs w:val="21"/>
          <w:lang w:eastAsia="zh-CN"/>
        </w:rPr>
        <w:t>胡先生</w:t>
      </w:r>
    </w:p>
    <w:p>
      <w:pPr>
        <w:spacing w:line="360" w:lineRule="auto"/>
        <w:ind w:firstLine="530"/>
        <w:rPr>
          <w:rFonts w:hint="eastAsia" w:ascii="宋体" w:eastAsia="宋体"/>
          <w:color w:val="auto"/>
          <w:szCs w:val="21"/>
          <w:highlight w:val="none"/>
          <w:lang w:eastAsia="zh-CN"/>
        </w:rPr>
      </w:pPr>
      <w:r>
        <w:rPr>
          <w:rFonts w:hint="eastAsia" w:hAnsi="宋体"/>
          <w:color w:val="auto"/>
          <w:szCs w:val="21"/>
          <w:highlight w:val="none"/>
        </w:rPr>
        <w:t>公司</w:t>
      </w:r>
      <w:r>
        <w:rPr>
          <w:rFonts w:hint="eastAsia" w:ascii="宋体"/>
          <w:color w:val="auto"/>
          <w:szCs w:val="21"/>
          <w:highlight w:val="none"/>
        </w:rPr>
        <w:t>地址：</w:t>
      </w:r>
      <w:r>
        <w:rPr>
          <w:rFonts w:hint="eastAsia" w:hAnsi="宋体"/>
          <w:color w:val="auto"/>
          <w:szCs w:val="21"/>
          <w:highlight w:val="none"/>
          <w:lang w:eastAsia="zh-CN"/>
        </w:rPr>
        <w:t>中山市东区中山四路53号工业楼4楼（即能龙大厦4楼）</w:t>
      </w:r>
    </w:p>
    <w:p>
      <w:pPr>
        <w:spacing w:line="360" w:lineRule="auto"/>
        <w:ind w:firstLine="530"/>
        <w:rPr>
          <w:rFonts w:hint="eastAsia" w:ascii="宋体" w:eastAsia="宋体"/>
          <w:color w:val="auto"/>
          <w:szCs w:val="21"/>
          <w:lang w:eastAsia="zh-CN"/>
        </w:rPr>
      </w:pPr>
      <w:r>
        <w:rPr>
          <w:rFonts w:hint="eastAsia" w:ascii="宋体"/>
          <w:color w:val="auto"/>
          <w:szCs w:val="21"/>
        </w:rPr>
        <w:t>电</w:t>
      </w:r>
      <w:r>
        <w:rPr>
          <w:rFonts w:hint="eastAsia" w:ascii="宋体"/>
          <w:color w:val="auto"/>
          <w:szCs w:val="21"/>
          <w:lang w:val="en-US" w:eastAsia="zh-CN"/>
        </w:rPr>
        <w:t xml:space="preserve">  </w:t>
      </w:r>
      <w:r>
        <w:rPr>
          <w:rFonts w:hint="eastAsia" w:ascii="宋体"/>
          <w:color w:val="auto"/>
          <w:szCs w:val="21"/>
        </w:rPr>
        <w:t>话：0760-883</w:t>
      </w:r>
      <w:r>
        <w:rPr>
          <w:rFonts w:hint="eastAsia" w:ascii="宋体"/>
          <w:color w:val="auto"/>
          <w:szCs w:val="21"/>
          <w:lang w:val="en-US" w:eastAsia="zh-CN"/>
        </w:rPr>
        <w:t>32309</w:t>
      </w:r>
    </w:p>
    <w:p>
      <w:pPr>
        <w:spacing w:line="360" w:lineRule="auto"/>
        <w:ind w:firstLine="530"/>
        <w:rPr>
          <w:rFonts w:hint="eastAsia" w:ascii="宋体"/>
          <w:color w:val="auto"/>
          <w:szCs w:val="21"/>
        </w:rPr>
      </w:pPr>
      <w:r>
        <w:rPr>
          <w:rFonts w:hint="eastAsia" w:ascii="宋体"/>
          <w:color w:val="auto"/>
          <w:szCs w:val="21"/>
        </w:rPr>
        <w:t>传</w:t>
      </w:r>
      <w:r>
        <w:rPr>
          <w:rFonts w:hint="eastAsia" w:ascii="宋体"/>
          <w:color w:val="auto"/>
          <w:szCs w:val="21"/>
          <w:lang w:val="en-US" w:eastAsia="zh-CN"/>
        </w:rPr>
        <w:t xml:space="preserve">  </w:t>
      </w:r>
      <w:r>
        <w:rPr>
          <w:rFonts w:hint="eastAsia" w:ascii="宋体"/>
          <w:color w:val="auto"/>
          <w:szCs w:val="21"/>
        </w:rPr>
        <w:t>真：0760-883</w:t>
      </w:r>
      <w:r>
        <w:rPr>
          <w:rFonts w:hint="eastAsia" w:ascii="宋体"/>
          <w:color w:val="auto"/>
          <w:szCs w:val="21"/>
          <w:lang w:val="en-US" w:eastAsia="zh-CN"/>
        </w:rPr>
        <w:t>32309</w:t>
      </w:r>
    </w:p>
    <w:p>
      <w:pPr>
        <w:spacing w:line="360" w:lineRule="auto"/>
        <w:ind w:firstLine="530"/>
        <w:rPr>
          <w:rFonts w:ascii="宋体"/>
          <w:color w:val="auto"/>
          <w:szCs w:val="21"/>
          <w:highlight w:val="none"/>
        </w:rPr>
      </w:pPr>
      <w:r>
        <w:rPr>
          <w:rFonts w:hint="eastAsia" w:ascii="宋体"/>
          <w:color w:val="auto"/>
          <w:szCs w:val="21"/>
        </w:rPr>
        <w:t>电子邮箱：</w:t>
      </w:r>
      <w:r>
        <w:rPr>
          <w:rFonts w:hint="eastAsia" w:ascii="宋体"/>
          <w:color w:val="auto"/>
          <w:szCs w:val="21"/>
          <w:lang w:val="en-US" w:eastAsia="zh-CN"/>
        </w:rPr>
        <w:t>1016608154</w:t>
      </w:r>
      <w:r>
        <w:rPr>
          <w:rFonts w:ascii="宋体"/>
          <w:color w:val="auto"/>
          <w:szCs w:val="21"/>
        </w:rPr>
        <w:t>@QQ.com</w:t>
      </w:r>
    </w:p>
    <w:p>
      <w:pPr>
        <w:spacing w:line="360" w:lineRule="auto"/>
        <w:ind w:firstLine="530"/>
        <w:rPr>
          <w:rFonts w:ascii="宋体"/>
          <w:color w:val="auto"/>
          <w:szCs w:val="21"/>
          <w:highlight w:val="none"/>
        </w:rPr>
      </w:pPr>
      <w:r>
        <w:rPr>
          <w:rFonts w:hint="eastAsia" w:ascii="宋体"/>
          <w:color w:val="auto"/>
          <w:highlight w:val="none"/>
        </w:rPr>
        <w:t>网</w:t>
      </w:r>
      <w:r>
        <w:rPr>
          <w:rFonts w:hint="eastAsia" w:ascii="宋体"/>
          <w:color w:val="auto"/>
          <w:highlight w:val="none"/>
          <w:lang w:val="en-US" w:eastAsia="zh-CN"/>
        </w:rPr>
        <w:t xml:space="preserve">  </w:t>
      </w:r>
      <w:r>
        <w:rPr>
          <w:rFonts w:hint="eastAsia" w:ascii="宋体"/>
          <w:color w:val="auto"/>
          <w:highlight w:val="none"/>
        </w:rPr>
        <w:t>址：www.zsjyjl.com</w:t>
      </w:r>
    </w:p>
    <w:p>
      <w:pPr>
        <w:spacing w:line="440" w:lineRule="exact"/>
        <w:ind w:firstLine="530"/>
        <w:rPr>
          <w:rFonts w:ascii="宋体"/>
          <w:color w:val="auto"/>
          <w:szCs w:val="21"/>
          <w:highlight w:val="none"/>
        </w:rPr>
      </w:pPr>
    </w:p>
    <w:p>
      <w:pPr>
        <w:spacing w:line="360" w:lineRule="auto"/>
        <w:ind w:left="700" w:right="210"/>
        <w:rPr>
          <w:rFonts w:ascii="宋体" w:cs="宋体"/>
          <w:color w:val="auto"/>
          <w:szCs w:val="21"/>
          <w:highlight w:val="none"/>
        </w:rPr>
      </w:pPr>
    </w:p>
    <w:p>
      <w:pPr>
        <w:spacing w:line="360" w:lineRule="auto"/>
        <w:ind w:left="700" w:right="210"/>
        <w:jc w:val="right"/>
        <w:rPr>
          <w:rFonts w:hint="eastAsia" w:ascii="宋体" w:eastAsia="宋体" w:cs="宋体"/>
          <w:b/>
          <w:color w:val="auto"/>
          <w:szCs w:val="21"/>
          <w:highlight w:val="none"/>
          <w:lang w:eastAsia="zh-CN"/>
        </w:rPr>
      </w:pPr>
      <w:r>
        <w:rPr>
          <w:rFonts w:hint="eastAsia" w:ascii="宋体" w:hAnsi="宋体" w:cs="宋体"/>
          <w:color w:val="auto"/>
          <w:szCs w:val="21"/>
          <w:highlight w:val="none"/>
          <w:lang w:eastAsia="zh-CN"/>
        </w:rPr>
        <w:t>中山市建业建筑工程监理有限公司</w:t>
      </w:r>
    </w:p>
    <w:p>
      <w:pPr>
        <w:wordWrap w:val="0"/>
        <w:spacing w:line="360" w:lineRule="auto"/>
        <w:ind w:left="699" w:leftChars="333" w:right="420"/>
        <w:jc w:val="right"/>
        <w:rPr>
          <w:rFonts w:ascii="宋体" w:cs="宋体"/>
          <w:color w:val="auto"/>
          <w:szCs w:val="21"/>
          <w:highlight w:val="none"/>
        </w:rPr>
      </w:pPr>
      <w:r>
        <w:rPr>
          <w:rFonts w:ascii="宋体" w:hAnsi="宋体" w:cs="宋体"/>
          <w:color w:val="auto"/>
          <w:szCs w:val="21"/>
          <w:highlight w:val="none"/>
        </w:rPr>
        <w:t>201</w:t>
      </w:r>
      <w:r>
        <w:rPr>
          <w:rFonts w:hint="eastAsia" w:ascii="宋体" w:hAnsi="宋体" w:cs="宋体"/>
          <w:color w:val="auto"/>
          <w:szCs w:val="21"/>
          <w:highlight w:val="none"/>
        </w:rPr>
        <w:t>9年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p>
    <w:p>
      <w:pPr>
        <w:spacing w:line="360" w:lineRule="auto"/>
        <w:rPr>
          <w:rFonts w:ascii="宋体" w:cs="宋体"/>
          <w:color w:val="auto"/>
          <w:kern w:val="28"/>
          <w:szCs w:val="21"/>
          <w:highlight w:val="none"/>
        </w:rPr>
        <w:sectPr>
          <w:headerReference r:id="rId4" w:type="default"/>
          <w:footerReference r:id="rId5" w:type="default"/>
          <w:pgSz w:w="11907" w:h="16840"/>
          <w:pgMar w:top="1418" w:right="1417" w:bottom="1134" w:left="1418" w:header="851" w:footer="851" w:gutter="0"/>
          <w:cols w:space="720" w:num="1"/>
        </w:sectPr>
      </w:pPr>
    </w:p>
    <w:p>
      <w:pPr>
        <w:pStyle w:val="460"/>
        <w:jc w:val="left"/>
        <w:rPr>
          <w:rFonts w:ascii="宋体" w:hAnsi="宋体" w:eastAsia="宋体" w:cs="宋体"/>
          <w:b w:val="0"/>
          <w:color w:val="auto"/>
          <w:sz w:val="21"/>
          <w:szCs w:val="21"/>
          <w:highlight w:val="none"/>
        </w:rPr>
      </w:pPr>
    </w:p>
    <w:p>
      <w:pPr>
        <w:pStyle w:val="460"/>
        <w:jc w:val="left"/>
        <w:rPr>
          <w:rFonts w:ascii="宋体" w:hAnsi="宋体" w:eastAsia="宋体" w:cs="宋体"/>
          <w:color w:val="auto"/>
          <w:sz w:val="21"/>
          <w:szCs w:val="21"/>
          <w:highlight w:val="none"/>
        </w:rPr>
      </w:pPr>
    </w:p>
    <w:p>
      <w:pPr>
        <w:pStyle w:val="460"/>
        <w:jc w:val="left"/>
        <w:rPr>
          <w:rFonts w:ascii="宋体" w:hAnsi="宋体" w:eastAsia="宋体" w:cs="宋体"/>
          <w:color w:val="auto"/>
          <w:sz w:val="21"/>
          <w:szCs w:val="21"/>
          <w:highlight w:val="none"/>
        </w:rPr>
      </w:pPr>
    </w:p>
    <w:p>
      <w:pPr>
        <w:pStyle w:val="460"/>
        <w:jc w:val="left"/>
        <w:rPr>
          <w:rFonts w:ascii="宋体" w:hAnsi="宋体" w:eastAsia="宋体" w:cs="宋体"/>
          <w:color w:val="auto"/>
          <w:sz w:val="21"/>
          <w:szCs w:val="21"/>
          <w:highlight w:val="none"/>
        </w:rPr>
      </w:pPr>
    </w:p>
    <w:p>
      <w:pPr>
        <w:pStyle w:val="460"/>
        <w:jc w:val="left"/>
        <w:rPr>
          <w:rFonts w:ascii="宋体" w:hAnsi="宋体" w:eastAsia="宋体" w:cs="宋体"/>
          <w:color w:val="auto"/>
          <w:sz w:val="21"/>
          <w:szCs w:val="21"/>
          <w:highlight w:val="none"/>
        </w:rPr>
      </w:pPr>
    </w:p>
    <w:p>
      <w:pPr>
        <w:pStyle w:val="460"/>
        <w:jc w:val="left"/>
        <w:rPr>
          <w:rFonts w:ascii="宋体" w:hAnsi="宋体" w:eastAsia="宋体" w:cs="宋体"/>
          <w:color w:val="auto"/>
          <w:sz w:val="21"/>
          <w:szCs w:val="21"/>
          <w:highlight w:val="none"/>
        </w:rPr>
      </w:pPr>
    </w:p>
    <w:p>
      <w:pPr>
        <w:pStyle w:val="460"/>
        <w:jc w:val="left"/>
        <w:rPr>
          <w:rFonts w:ascii="宋体" w:hAnsi="宋体" w:eastAsia="宋体" w:cs="宋体"/>
          <w:color w:val="auto"/>
          <w:sz w:val="21"/>
          <w:szCs w:val="21"/>
          <w:highlight w:val="none"/>
        </w:rPr>
      </w:pPr>
    </w:p>
    <w:p>
      <w:pPr>
        <w:pStyle w:val="460"/>
        <w:jc w:val="left"/>
        <w:rPr>
          <w:rFonts w:ascii="宋体" w:hAnsi="宋体" w:eastAsia="宋体" w:cs="宋体"/>
          <w:color w:val="auto"/>
          <w:sz w:val="21"/>
          <w:szCs w:val="21"/>
          <w:highlight w:val="none"/>
        </w:rPr>
      </w:pPr>
    </w:p>
    <w:p>
      <w:pPr>
        <w:pStyle w:val="460"/>
        <w:jc w:val="left"/>
        <w:rPr>
          <w:rFonts w:ascii="宋体" w:hAnsi="宋体" w:eastAsia="宋体" w:cs="宋体"/>
          <w:color w:val="auto"/>
          <w:sz w:val="21"/>
          <w:szCs w:val="21"/>
          <w:highlight w:val="none"/>
        </w:rPr>
      </w:pPr>
    </w:p>
    <w:p>
      <w:pPr>
        <w:pStyle w:val="460"/>
        <w:jc w:val="left"/>
        <w:rPr>
          <w:rFonts w:ascii="宋体" w:hAnsi="宋体" w:eastAsia="宋体" w:cs="宋体"/>
          <w:color w:val="auto"/>
          <w:sz w:val="21"/>
          <w:szCs w:val="21"/>
          <w:highlight w:val="none"/>
        </w:rPr>
      </w:pPr>
    </w:p>
    <w:p>
      <w:pPr>
        <w:pStyle w:val="460"/>
        <w:jc w:val="left"/>
        <w:rPr>
          <w:rFonts w:ascii="宋体" w:hAnsi="宋体" w:eastAsia="宋体" w:cs="宋体"/>
          <w:color w:val="auto"/>
          <w:sz w:val="21"/>
          <w:szCs w:val="21"/>
          <w:highlight w:val="none"/>
        </w:rPr>
      </w:pPr>
    </w:p>
    <w:p>
      <w:pPr>
        <w:pStyle w:val="460"/>
        <w:jc w:val="left"/>
        <w:rPr>
          <w:rFonts w:ascii="宋体" w:hAnsi="宋体" w:eastAsia="宋体" w:cs="宋体"/>
          <w:color w:val="auto"/>
          <w:sz w:val="21"/>
          <w:szCs w:val="21"/>
          <w:highlight w:val="none"/>
        </w:rPr>
      </w:pPr>
    </w:p>
    <w:p>
      <w:pPr>
        <w:pStyle w:val="3"/>
        <w:jc w:val="center"/>
        <w:rPr>
          <w:rFonts w:ascii="黑体" w:hAnsi="黑体" w:eastAsia="黑体" w:cs="宋体"/>
          <w:bCs/>
          <w:color w:val="auto"/>
          <w:kern w:val="2"/>
          <w:sz w:val="44"/>
          <w:szCs w:val="44"/>
          <w:highlight w:val="none"/>
          <w:lang w:val="zh-CN"/>
        </w:rPr>
      </w:pPr>
      <w:bookmarkStart w:id="2" w:name="_Toc489282796"/>
      <w:r>
        <w:rPr>
          <w:rFonts w:hint="eastAsia" w:ascii="黑体" w:hAnsi="黑体" w:eastAsia="黑体" w:cs="宋体"/>
          <w:bCs/>
          <w:color w:val="auto"/>
          <w:kern w:val="2"/>
          <w:sz w:val="44"/>
          <w:szCs w:val="44"/>
          <w:highlight w:val="none"/>
          <w:lang w:val="zh-CN"/>
        </w:rPr>
        <w:t>第二部分用户需求书</w:t>
      </w:r>
      <w:bookmarkEnd w:id="2"/>
    </w:p>
    <w:p>
      <w:pPr>
        <w:pStyle w:val="389"/>
        <w:rPr>
          <w:rFonts w:ascii="宋体" w:hAnsi="宋体" w:cs="宋体"/>
          <w:b/>
          <w:bCs/>
          <w:color w:val="auto"/>
          <w:szCs w:val="21"/>
          <w:highlight w:val="none"/>
        </w:rPr>
      </w:pPr>
      <w:r>
        <w:rPr>
          <w:rFonts w:ascii="宋体" w:cs="宋体"/>
          <w:color w:val="auto"/>
          <w:szCs w:val="21"/>
          <w:highlight w:val="none"/>
        </w:rPr>
        <w:br w:type="page"/>
      </w:r>
      <w:bookmarkStart w:id="3" w:name="_Toc259086869"/>
      <w:bookmarkEnd w:id="3"/>
      <w:bookmarkStart w:id="4" w:name="_Toc213484926"/>
      <w:bookmarkEnd w:id="4"/>
      <w:bookmarkStart w:id="5" w:name="_Toc268071715"/>
      <w:bookmarkEnd w:id="5"/>
      <w:bookmarkStart w:id="6" w:name="_Toc288643801"/>
      <w:bookmarkEnd w:id="6"/>
      <w:bookmarkStart w:id="7" w:name="_Toc340504952"/>
      <w:bookmarkEnd w:id="7"/>
      <w:bookmarkStart w:id="8" w:name="_Toc185214366"/>
      <w:bookmarkEnd w:id="8"/>
      <w:bookmarkStart w:id="9" w:name="_Toc197328006"/>
      <w:bookmarkEnd w:id="9"/>
      <w:bookmarkStart w:id="10" w:name="_Toc185214330"/>
      <w:bookmarkEnd w:id="10"/>
      <w:bookmarkStart w:id="11" w:name="_Hlt507989741"/>
      <w:bookmarkEnd w:id="11"/>
      <w:bookmarkStart w:id="12" w:name="_Toc197240555"/>
      <w:bookmarkEnd w:id="12"/>
      <w:bookmarkStart w:id="13" w:name="_Toc271532096"/>
      <w:bookmarkStart w:id="14" w:name="_Toc281921008"/>
      <w:bookmarkStart w:id="15" w:name="_Toc281921013"/>
      <w:bookmarkStart w:id="16" w:name="_Toc489282797"/>
    </w:p>
    <w:bookmarkEnd w:id="13"/>
    <w:bookmarkEnd w:id="14"/>
    <w:bookmarkEnd w:id="15"/>
    <w:p>
      <w:pPr>
        <w:snapToGrid w:val="0"/>
        <w:spacing w:line="360" w:lineRule="auto"/>
        <w:rPr>
          <w:rFonts w:ascii="宋体"/>
          <w:b/>
          <w:bCs/>
          <w:szCs w:val="20"/>
        </w:rPr>
      </w:pPr>
      <w:r>
        <w:rPr>
          <w:rFonts w:hint="eastAsia" w:ascii="宋体"/>
          <w:b/>
          <w:bCs/>
          <w:szCs w:val="20"/>
        </w:rPr>
        <w:t>说明：</w:t>
      </w:r>
    </w:p>
    <w:p>
      <w:pPr>
        <w:snapToGrid w:val="0"/>
        <w:spacing w:line="360" w:lineRule="auto"/>
        <w:ind w:firstLine="420" w:firstLineChars="200"/>
        <w:rPr>
          <w:rFonts w:ascii="宋体"/>
          <w:bCs/>
          <w:szCs w:val="20"/>
        </w:rPr>
      </w:pPr>
      <w:r>
        <w:rPr>
          <w:rFonts w:hint="eastAsia" w:ascii="宋体"/>
          <w:bCs/>
          <w:szCs w:val="20"/>
        </w:rPr>
        <w:t>1.供应商须对本项目的货物及服务进行整体响应，任何只对项目其中一部分内容进行的响应都被视为无效投标。</w:t>
      </w:r>
    </w:p>
    <w:p>
      <w:pPr>
        <w:snapToGrid w:val="0"/>
        <w:spacing w:line="360" w:lineRule="auto"/>
        <w:ind w:firstLine="420" w:firstLineChars="200"/>
        <w:rPr>
          <w:rFonts w:hint="eastAsia" w:ascii="宋体"/>
          <w:bCs/>
          <w:szCs w:val="20"/>
        </w:rPr>
      </w:pPr>
      <w:r>
        <w:rPr>
          <w:rFonts w:hint="eastAsia" w:ascii="宋体"/>
          <w:bCs/>
          <w:szCs w:val="20"/>
        </w:rPr>
        <w:t>2.</w:t>
      </w:r>
      <w:r>
        <w:rPr>
          <w:rFonts w:hint="eastAsia" w:ascii="宋体" w:hAnsi="宋体"/>
          <w:bCs/>
          <w:szCs w:val="20"/>
        </w:rPr>
        <w:t>用户需求书中打“▲”号条款为重要技术参数，作为评分依据，但不作为实质性条款。</w:t>
      </w:r>
    </w:p>
    <w:p>
      <w:pPr>
        <w:snapToGrid w:val="0"/>
        <w:spacing w:line="360" w:lineRule="auto"/>
        <w:ind w:firstLine="420" w:firstLineChars="200"/>
        <w:rPr>
          <w:rFonts w:ascii="宋体"/>
          <w:b/>
          <w:bCs/>
          <w:highlight w:val="none"/>
        </w:rPr>
      </w:pPr>
      <w:r>
        <w:rPr>
          <w:rFonts w:hint="eastAsia" w:ascii="宋体"/>
          <w:bCs/>
          <w:szCs w:val="20"/>
        </w:rPr>
        <w:t>3.</w:t>
      </w:r>
      <w:r>
        <w:rPr>
          <w:rFonts w:hint="eastAsia" w:ascii="宋体"/>
          <w:b/>
          <w:bCs/>
          <w:highlight w:val="none"/>
        </w:rPr>
        <w:t>关于同品牌产品参加同一合同项（或同一包组）投标</w:t>
      </w:r>
    </w:p>
    <w:p>
      <w:pPr>
        <w:tabs>
          <w:tab w:val="left" w:pos="424"/>
        </w:tabs>
        <w:spacing w:line="460" w:lineRule="exact"/>
        <w:ind w:left="420" w:leftChars="200"/>
        <w:rPr>
          <w:rFonts w:hint="eastAsia" w:ascii="宋体"/>
          <w:highlight w:val="none"/>
        </w:rPr>
      </w:pPr>
      <w:r>
        <w:rPr>
          <w:rFonts w:hint="eastAsia" w:ascii="宋体"/>
          <w:highlight w:val="none"/>
        </w:rPr>
        <w:t>（一）提供相同品牌产品且通过资格审查、符合性审查的不同投标人参加同一合同项下投标的，按一家投标人计算，评审后得分最高的同品牌投标人获得中标人推荐资格。综合得分相同的，按下列顺序比较确定一个投标人获得中标人推荐资格，其他同品牌投标人不作为中标候选人。（1）投标报价（由低到高）；（4）技术部分得分（由高到低）。综合得分相同、投标报价和技术评分均相同的，名次由评标委员会抽签确定。法律法规有明确规定的，以法律法规规定为准。</w:t>
      </w:r>
    </w:p>
    <w:p>
      <w:pPr>
        <w:tabs>
          <w:tab w:val="left" w:pos="424"/>
        </w:tabs>
        <w:spacing w:line="460" w:lineRule="exact"/>
        <w:ind w:left="420" w:leftChars="200"/>
        <w:rPr>
          <w:rFonts w:hint="eastAsia" w:ascii="宋体"/>
          <w:highlight w:val="none"/>
        </w:rPr>
      </w:pPr>
      <w:r>
        <w:rPr>
          <w:rFonts w:hint="eastAsia" w:ascii="宋体"/>
          <w:highlight w:val="none"/>
        </w:rPr>
        <w:t>（二）相同品牌的定义：多家供应商提供的核心产品的品牌均为相同的品牌。</w:t>
      </w:r>
    </w:p>
    <w:p>
      <w:pPr>
        <w:tabs>
          <w:tab w:val="left" w:pos="424"/>
        </w:tabs>
        <w:spacing w:line="460" w:lineRule="exact"/>
        <w:ind w:left="420" w:leftChars="200"/>
        <w:rPr>
          <w:rFonts w:hint="default" w:eastAsia="宋体"/>
          <w:lang w:val="en-US" w:eastAsia="zh-CN"/>
        </w:rPr>
      </w:pPr>
      <w:r>
        <w:rPr>
          <w:rFonts w:hint="eastAsia" w:ascii="宋体"/>
          <w:highlight w:val="none"/>
          <w:lang w:val="en-US" w:eastAsia="zh-CN"/>
        </w:rPr>
        <w:t>4.</w:t>
      </w:r>
      <w:r>
        <w:rPr>
          <w:rFonts w:hint="eastAsia"/>
          <w:b/>
          <w:bCs/>
          <w:szCs w:val="21"/>
          <w:highlight w:val="none"/>
        </w:rPr>
        <w:t>本项目核心产品：</w:t>
      </w:r>
      <w:r>
        <w:rPr>
          <w:rFonts w:hint="eastAsia"/>
          <w:b/>
          <w:bCs/>
          <w:szCs w:val="21"/>
          <w:highlight w:val="none"/>
          <w:lang w:eastAsia="zh-CN"/>
        </w:rPr>
        <w:t>柴油发电机</w:t>
      </w:r>
      <w:r>
        <w:rPr>
          <w:rFonts w:hint="eastAsia"/>
          <w:b/>
          <w:bCs/>
          <w:szCs w:val="21"/>
          <w:highlight w:val="none"/>
        </w:rPr>
        <w:t>。</w:t>
      </w:r>
    </w:p>
    <w:p>
      <w:pPr>
        <w:snapToGrid w:val="0"/>
        <w:spacing w:line="360" w:lineRule="auto"/>
        <w:ind w:firstLine="422" w:firstLineChars="200"/>
        <w:rPr>
          <w:rFonts w:hint="eastAsia" w:ascii="宋体"/>
          <w:b/>
          <w:bCs/>
          <w:szCs w:val="20"/>
        </w:rPr>
      </w:pPr>
    </w:p>
    <w:p>
      <w:pPr>
        <w:snapToGrid w:val="0"/>
        <w:spacing w:line="360" w:lineRule="auto"/>
        <w:ind w:firstLine="422" w:firstLineChars="200"/>
        <w:rPr>
          <w:rFonts w:hint="eastAsia" w:ascii="宋体"/>
          <w:b/>
          <w:bCs/>
          <w:szCs w:val="20"/>
        </w:rPr>
      </w:pPr>
      <w:r>
        <w:rPr>
          <w:rFonts w:hint="eastAsia" w:ascii="宋体"/>
          <w:b/>
          <w:bCs/>
          <w:szCs w:val="20"/>
        </w:rPr>
        <w:t>一、采购内容简述</w:t>
      </w:r>
    </w:p>
    <w:p>
      <w:pPr>
        <w:snapToGrid w:val="0"/>
        <w:spacing w:line="360" w:lineRule="auto"/>
        <w:ind w:firstLine="420" w:firstLineChars="200"/>
        <w:rPr>
          <w:rFonts w:ascii="宋体" w:hAnsi="宋体"/>
          <w:szCs w:val="21"/>
        </w:rPr>
      </w:pPr>
      <w:r>
        <w:rPr>
          <w:rFonts w:hint="eastAsia" w:ascii="宋体" w:hAnsi="宋体"/>
          <w:szCs w:val="21"/>
        </w:rPr>
        <w:t>1.项目背景：</w:t>
      </w:r>
      <w:r>
        <w:rPr>
          <w:rFonts w:hint="eastAsia" w:ascii="宋体" w:hAnsi="宋体" w:cs="宋体"/>
          <w:color w:val="auto"/>
          <w:kern w:val="28"/>
          <w:szCs w:val="21"/>
          <w:highlight w:val="none"/>
          <w:lang w:eastAsia="zh-CN"/>
        </w:rPr>
        <w:t>中山市坦洲镇政府大院发电机购置安装项目</w:t>
      </w:r>
      <w:r>
        <w:rPr>
          <w:rFonts w:hint="eastAsia" w:ascii="宋体" w:hAnsi="宋体"/>
          <w:szCs w:val="21"/>
        </w:rPr>
        <w:t>；</w:t>
      </w:r>
    </w:p>
    <w:p>
      <w:pPr>
        <w:snapToGrid w:val="0"/>
        <w:spacing w:line="360" w:lineRule="auto"/>
        <w:ind w:firstLine="420" w:firstLineChars="200"/>
        <w:rPr>
          <w:rFonts w:ascii="宋体"/>
          <w:bCs/>
          <w:szCs w:val="20"/>
        </w:rPr>
      </w:pPr>
      <w:r>
        <w:rPr>
          <w:rFonts w:hint="eastAsia" w:ascii="宋体"/>
          <w:bCs/>
          <w:szCs w:val="20"/>
        </w:rPr>
        <w:t>2.采购内容：1台全新</w:t>
      </w:r>
      <w:r>
        <w:rPr>
          <w:rFonts w:hint="eastAsia" w:ascii="宋体"/>
          <w:bCs/>
          <w:szCs w:val="20"/>
          <w:lang w:val="en-US" w:eastAsia="zh-CN"/>
        </w:rPr>
        <w:t>4</w:t>
      </w:r>
      <w:r>
        <w:rPr>
          <w:rFonts w:hint="eastAsia" w:ascii="宋体"/>
          <w:bCs/>
          <w:szCs w:val="20"/>
        </w:rPr>
        <w:t>00KW柴油发电机组采购及安装工程；</w:t>
      </w:r>
    </w:p>
    <w:p>
      <w:pPr>
        <w:snapToGrid w:val="0"/>
        <w:spacing w:line="360" w:lineRule="auto"/>
        <w:ind w:firstLine="420" w:firstLineChars="200"/>
        <w:rPr>
          <w:rFonts w:ascii="宋体"/>
          <w:bCs/>
          <w:szCs w:val="20"/>
        </w:rPr>
      </w:pPr>
      <w:r>
        <w:rPr>
          <w:rFonts w:hint="eastAsia" w:ascii="宋体"/>
          <w:bCs/>
          <w:szCs w:val="20"/>
        </w:rPr>
        <w:t>3.数量：</w:t>
      </w:r>
      <w:r>
        <w:rPr>
          <w:rFonts w:hint="eastAsia" w:ascii="宋体" w:hAnsi="宋体"/>
          <w:szCs w:val="21"/>
        </w:rPr>
        <w:t>柴油发电机组1台</w:t>
      </w:r>
      <w:r>
        <w:rPr>
          <w:rFonts w:hint="eastAsia" w:ascii="宋体"/>
          <w:bCs/>
          <w:szCs w:val="20"/>
        </w:rPr>
        <w:t>；</w:t>
      </w:r>
    </w:p>
    <w:p>
      <w:pPr>
        <w:snapToGrid w:val="0"/>
        <w:spacing w:line="360" w:lineRule="auto"/>
        <w:ind w:firstLine="420" w:firstLineChars="200"/>
        <w:rPr>
          <w:rFonts w:hint="eastAsia" w:ascii="宋体"/>
          <w:bCs/>
          <w:szCs w:val="20"/>
        </w:rPr>
      </w:pPr>
      <w:r>
        <w:rPr>
          <w:rFonts w:hint="eastAsia" w:ascii="宋体"/>
          <w:bCs/>
          <w:szCs w:val="20"/>
        </w:rPr>
        <w:t>4.交货期：自签订合同之日起</w:t>
      </w:r>
      <w:r>
        <w:rPr>
          <w:rFonts w:hint="eastAsia" w:ascii="宋体"/>
          <w:bCs/>
          <w:szCs w:val="20"/>
          <w:u w:val="single"/>
          <w:lang w:val="en-US" w:eastAsia="zh-CN"/>
        </w:rPr>
        <w:t xml:space="preserve"> 30 </w:t>
      </w:r>
      <w:r>
        <w:rPr>
          <w:rFonts w:hint="eastAsia" w:ascii="宋体"/>
          <w:bCs/>
          <w:szCs w:val="20"/>
        </w:rPr>
        <w:t>日内完成交货、安装、验收并交付使用；</w:t>
      </w:r>
    </w:p>
    <w:p>
      <w:pPr>
        <w:snapToGrid w:val="0"/>
        <w:spacing w:line="360" w:lineRule="auto"/>
        <w:ind w:firstLine="420" w:firstLineChars="200"/>
        <w:rPr>
          <w:rFonts w:hint="eastAsia" w:ascii="宋体"/>
          <w:bCs/>
          <w:szCs w:val="20"/>
        </w:rPr>
      </w:pPr>
      <w:r>
        <w:rPr>
          <w:rFonts w:hint="eastAsia" w:ascii="宋体"/>
          <w:bCs/>
          <w:szCs w:val="20"/>
        </w:rPr>
        <w:t>5.预算金额：人民币</w:t>
      </w:r>
      <w:r>
        <w:rPr>
          <w:rFonts w:hint="eastAsia" w:ascii="宋体"/>
          <w:bCs/>
          <w:szCs w:val="21"/>
          <w:u w:val="single"/>
          <w:lang w:val="en-US" w:eastAsia="zh-CN"/>
        </w:rPr>
        <w:t>496586.15</w:t>
      </w:r>
      <w:r>
        <w:rPr>
          <w:rFonts w:hint="eastAsia" w:ascii="宋体"/>
          <w:bCs/>
          <w:szCs w:val="20"/>
        </w:rPr>
        <w:t>元（供应商投标报价超过预算金额将按无效投标处理）。</w:t>
      </w:r>
    </w:p>
    <w:p>
      <w:pPr>
        <w:snapToGrid w:val="0"/>
        <w:spacing w:line="360" w:lineRule="auto"/>
        <w:ind w:firstLine="422" w:firstLineChars="200"/>
        <w:rPr>
          <w:rFonts w:hint="eastAsia" w:ascii="宋体" w:hAnsi="Times New Roman" w:cs="Times New Roman"/>
          <w:b/>
          <w:bCs/>
          <w:szCs w:val="20"/>
        </w:rPr>
      </w:pPr>
    </w:p>
    <w:p>
      <w:pPr>
        <w:snapToGrid w:val="0"/>
        <w:spacing w:line="360" w:lineRule="auto"/>
        <w:ind w:firstLine="422" w:firstLineChars="200"/>
        <w:rPr>
          <w:rFonts w:hint="eastAsia" w:ascii="宋体" w:hAnsi="Times New Roman" w:cs="Times New Roman"/>
          <w:b/>
          <w:bCs/>
          <w:szCs w:val="20"/>
        </w:rPr>
      </w:pPr>
      <w:r>
        <w:rPr>
          <w:rFonts w:hint="eastAsia" w:ascii="宋体" w:hAnsi="Times New Roman" w:cs="Times New Roman"/>
          <w:b/>
          <w:bCs/>
          <w:szCs w:val="20"/>
        </w:rPr>
        <w:t>二、项目概况</w:t>
      </w:r>
    </w:p>
    <w:p>
      <w:pPr>
        <w:widowControl/>
        <w:tabs>
          <w:tab w:val="left" w:pos="424"/>
        </w:tabs>
        <w:spacing w:line="460" w:lineRule="exact"/>
        <w:ind w:firstLine="420" w:firstLineChars="200"/>
        <w:jc w:val="left"/>
        <w:rPr>
          <w:rFonts w:hAnsi="宋体"/>
          <w:kern w:val="28"/>
        </w:rPr>
      </w:pPr>
      <w:r>
        <w:rPr>
          <w:rFonts w:hint="eastAsia" w:ascii="宋体"/>
        </w:rPr>
        <w:t>1.本次招标项目范围：</w:t>
      </w:r>
      <w:r>
        <w:rPr>
          <w:rFonts w:hint="eastAsia" w:ascii="宋体" w:hAnsi="宋体" w:cs="宋体"/>
          <w:color w:val="auto"/>
          <w:kern w:val="28"/>
          <w:szCs w:val="21"/>
          <w:highlight w:val="none"/>
          <w:lang w:eastAsia="zh-CN"/>
        </w:rPr>
        <w:t>中山市坦洲镇政府大院发电机购置安装项目</w:t>
      </w:r>
      <w:r>
        <w:rPr>
          <w:rFonts w:hint="eastAsia" w:ascii="宋体"/>
          <w:bCs/>
          <w:szCs w:val="20"/>
        </w:rPr>
        <w:t>。</w:t>
      </w:r>
    </w:p>
    <w:p>
      <w:pPr>
        <w:widowControl/>
        <w:tabs>
          <w:tab w:val="left" w:pos="424"/>
        </w:tabs>
        <w:spacing w:line="460" w:lineRule="exact"/>
        <w:ind w:firstLine="420" w:firstLineChars="200"/>
        <w:jc w:val="left"/>
        <w:rPr>
          <w:rFonts w:ascii="宋体"/>
        </w:rPr>
      </w:pPr>
      <w:r>
        <w:rPr>
          <w:rFonts w:hint="eastAsia" w:ascii="宋体"/>
        </w:rPr>
        <w:t>2.中标供应商承担及负责招标文件规定应由中标供应商负责的一切事宜及责任。包括项目货物供货、软件提供、集成、运输、保管、安装、调试、验收、培训及相关服务等。</w:t>
      </w:r>
    </w:p>
    <w:p>
      <w:pPr>
        <w:widowControl/>
        <w:tabs>
          <w:tab w:val="left" w:pos="424"/>
        </w:tabs>
        <w:spacing w:line="460" w:lineRule="exact"/>
        <w:ind w:firstLine="420" w:firstLineChars="200"/>
        <w:jc w:val="left"/>
        <w:rPr>
          <w:rFonts w:ascii="宋体"/>
        </w:rPr>
      </w:pPr>
      <w:r>
        <w:rPr>
          <w:rFonts w:hint="eastAsia" w:ascii="宋体"/>
        </w:rPr>
        <w:t>3.除非征得采购人同意外，中标供应商不得以任何方式转包或分包本项目。</w:t>
      </w:r>
    </w:p>
    <w:p>
      <w:pPr>
        <w:widowControl/>
        <w:tabs>
          <w:tab w:val="left" w:pos="424"/>
        </w:tabs>
        <w:spacing w:line="460" w:lineRule="exact"/>
        <w:ind w:firstLine="420" w:firstLineChars="200"/>
        <w:jc w:val="left"/>
        <w:rPr>
          <w:rFonts w:ascii="宋体"/>
        </w:rPr>
      </w:pPr>
      <w:r>
        <w:rPr>
          <w:rFonts w:hint="eastAsia" w:ascii="宋体"/>
        </w:rPr>
        <w:t>4.供应商应提供已注册品牌制造商原装、全新的、符合国家及用户提出的有关质量标准的设备。</w:t>
      </w:r>
    </w:p>
    <w:p>
      <w:pPr>
        <w:widowControl/>
        <w:tabs>
          <w:tab w:val="left" w:pos="424"/>
        </w:tabs>
        <w:spacing w:line="460" w:lineRule="exact"/>
        <w:ind w:firstLine="420" w:firstLineChars="200"/>
        <w:jc w:val="left"/>
        <w:rPr>
          <w:rFonts w:ascii="宋体"/>
        </w:rPr>
      </w:pPr>
      <w:r>
        <w:rPr>
          <w:rFonts w:hint="eastAsia" w:ascii="宋体"/>
        </w:rPr>
        <w:t>5.所有货物在开箱检验时必须完好，无破损，配置与装箱单相符。数量、质量及性能不低于本需求书中提出的要求。</w:t>
      </w:r>
    </w:p>
    <w:p>
      <w:pPr>
        <w:widowControl/>
        <w:tabs>
          <w:tab w:val="left" w:pos="424"/>
        </w:tabs>
        <w:spacing w:line="460" w:lineRule="exact"/>
        <w:ind w:firstLine="420" w:firstLineChars="200"/>
        <w:jc w:val="left"/>
        <w:rPr>
          <w:rFonts w:ascii="宋体"/>
        </w:rPr>
      </w:pPr>
      <w:r>
        <w:rPr>
          <w:rFonts w:hint="eastAsia" w:ascii="宋体"/>
        </w:rPr>
        <w:t>6.设备外观清洁，标记编号以及盘面显示等字体清晰，明确能够准确无误地表示设备的型号、规格、制造商。</w:t>
      </w:r>
    </w:p>
    <w:p>
      <w:pPr>
        <w:widowControl/>
        <w:tabs>
          <w:tab w:val="left" w:pos="424"/>
        </w:tabs>
        <w:spacing w:line="460" w:lineRule="exact"/>
        <w:ind w:firstLine="420" w:firstLineChars="200"/>
        <w:jc w:val="left"/>
        <w:rPr>
          <w:rFonts w:ascii="宋体"/>
        </w:rPr>
      </w:pPr>
      <w:r>
        <w:rPr>
          <w:rFonts w:hint="eastAsia" w:ascii="宋体"/>
        </w:rPr>
        <w:t>7.所有货物提供制造商出具的进货确认函、出厂合格证等质量证明文件、所有软件必须是正版。</w:t>
      </w:r>
    </w:p>
    <w:p>
      <w:pPr>
        <w:widowControl/>
        <w:tabs>
          <w:tab w:val="left" w:pos="424"/>
        </w:tabs>
        <w:spacing w:line="460" w:lineRule="exact"/>
        <w:ind w:firstLine="420" w:firstLineChars="200"/>
        <w:jc w:val="left"/>
        <w:rPr>
          <w:rFonts w:ascii="宋体"/>
        </w:rPr>
      </w:pPr>
      <w:r>
        <w:rPr>
          <w:rFonts w:hint="eastAsia" w:ascii="宋体"/>
        </w:rPr>
        <w:t xml:space="preserve">8.供应商投标时所提供的设备如在实际供货时已经废型（不列入该厂家当时的产品系统），应按原价提供性能与原设备同等级或更高配置的设备。 </w:t>
      </w:r>
    </w:p>
    <w:p>
      <w:pPr>
        <w:widowControl/>
        <w:tabs>
          <w:tab w:val="left" w:pos="424"/>
        </w:tabs>
        <w:spacing w:line="460" w:lineRule="exact"/>
        <w:ind w:firstLine="420" w:firstLineChars="200"/>
        <w:jc w:val="left"/>
        <w:rPr>
          <w:rFonts w:ascii="宋体"/>
        </w:rPr>
      </w:pPr>
      <w:r>
        <w:rPr>
          <w:rFonts w:hint="eastAsia" w:ascii="宋体"/>
        </w:rPr>
        <w:t>9.供应商在实际供货时，应提供设备清单、设备样本资料和产品技术性能条件说明书。若被发现提供的货物未能达到招标文件和投标文件中的有关要求，采购人有权拒绝验收。</w:t>
      </w:r>
    </w:p>
    <w:p>
      <w:pPr>
        <w:widowControl/>
        <w:tabs>
          <w:tab w:val="left" w:pos="424"/>
        </w:tabs>
        <w:spacing w:line="460" w:lineRule="exact"/>
        <w:ind w:firstLine="420" w:firstLineChars="200"/>
        <w:jc w:val="left"/>
        <w:rPr>
          <w:rFonts w:hint="eastAsia" w:ascii="宋体"/>
        </w:rPr>
      </w:pPr>
      <w:r>
        <w:rPr>
          <w:rFonts w:hint="eastAsia" w:ascii="宋体"/>
        </w:rPr>
        <w:t>10.本次投标应为包供货、安装、培训及售后服务的全部内容，中标供应商不得以任何理由向采购人加收其他任何费用。</w:t>
      </w:r>
    </w:p>
    <w:p>
      <w:pPr>
        <w:widowControl/>
        <w:tabs>
          <w:tab w:val="left" w:pos="424"/>
        </w:tabs>
        <w:spacing w:line="460" w:lineRule="exact"/>
        <w:ind w:firstLine="420" w:firstLineChars="200"/>
        <w:jc w:val="left"/>
        <w:rPr>
          <w:rFonts w:hint="eastAsia" w:ascii="宋体" w:hAnsi="宋体"/>
          <w:b/>
          <w:color w:val="auto"/>
          <w:szCs w:val="16"/>
          <w:highlight w:val="none"/>
        </w:rPr>
      </w:pPr>
      <w:r>
        <w:rPr>
          <w:rFonts w:hint="eastAsia" w:ascii="宋体"/>
        </w:rPr>
        <w:t>11.供应商所提供产品的性能，配置参数等不能低于招标文件所提出的要求。</w:t>
      </w:r>
    </w:p>
    <w:p>
      <w:pPr>
        <w:widowControl w:val="0"/>
        <w:tabs>
          <w:tab w:val="left" w:pos="840"/>
        </w:tabs>
        <w:spacing w:line="360" w:lineRule="auto"/>
        <w:jc w:val="both"/>
        <w:rPr>
          <w:rFonts w:hint="eastAsia" w:ascii="宋体" w:hAnsi="宋体"/>
          <w:b/>
          <w:color w:val="auto"/>
          <w:szCs w:val="16"/>
          <w:highlight w:val="none"/>
          <w:lang w:eastAsia="zh-CN"/>
        </w:rPr>
      </w:pPr>
      <w:r>
        <w:rPr>
          <w:rFonts w:hint="eastAsia" w:ascii="宋体" w:hAnsi="宋体"/>
          <w:b/>
          <w:color w:val="auto"/>
          <w:szCs w:val="16"/>
          <w:highlight w:val="none"/>
        </w:rPr>
        <w:t>三、</w:t>
      </w:r>
      <w:r>
        <w:rPr>
          <w:rFonts w:hint="eastAsia" w:ascii="宋体" w:hAnsi="宋体"/>
          <w:b/>
          <w:color w:val="auto"/>
          <w:szCs w:val="16"/>
          <w:highlight w:val="none"/>
          <w:lang w:eastAsia="zh-CN"/>
        </w:rPr>
        <w:t>技术要求及参数</w:t>
      </w:r>
    </w:p>
    <w:p>
      <w:pPr>
        <w:pStyle w:val="27"/>
        <w:spacing w:line="360" w:lineRule="auto"/>
        <w:ind w:firstLine="315" w:firstLineChars="150"/>
        <w:rPr>
          <w:rFonts w:hAnsi="宋体" w:cs="宋体"/>
          <w:sz w:val="21"/>
          <w:szCs w:val="21"/>
        </w:rPr>
      </w:pPr>
      <w:r>
        <w:rPr>
          <w:rFonts w:hint="eastAsia" w:hAnsi="宋体" w:cs="宋体"/>
          <w:sz w:val="21"/>
          <w:szCs w:val="21"/>
        </w:rPr>
        <w:t>柴油发电机组符合国家有关部门颁布的最新的国家或国际标准。所提供的设备是全新的、无质量问题，经出厂检测试验合格的产品</w:t>
      </w:r>
      <w:r>
        <w:rPr>
          <w:rFonts w:hAnsi="宋体" w:cs="宋体"/>
          <w:sz w:val="21"/>
          <w:szCs w:val="21"/>
        </w:rPr>
        <w:t>.</w:t>
      </w:r>
      <w:r>
        <w:rPr>
          <w:rFonts w:hint="eastAsia" w:hAnsi="宋体" w:cs="宋体"/>
          <w:sz w:val="21"/>
          <w:szCs w:val="21"/>
        </w:rPr>
        <w:t>散件有原包装，无拆开痕迹，内有产品合格证等必备证件。</w:t>
      </w:r>
    </w:p>
    <w:p>
      <w:pPr>
        <w:pStyle w:val="27"/>
        <w:spacing w:line="360" w:lineRule="auto"/>
        <w:ind w:firstLine="315" w:firstLineChars="150"/>
        <w:rPr>
          <w:rFonts w:hAnsi="宋体" w:cs="宋体"/>
          <w:sz w:val="21"/>
          <w:szCs w:val="21"/>
        </w:rPr>
      </w:pPr>
      <w:r>
        <w:rPr>
          <w:rFonts w:hint="eastAsia" w:hAnsi="宋体" w:cs="宋体"/>
          <w:sz w:val="21"/>
          <w:szCs w:val="21"/>
        </w:rPr>
        <w:t>提供免费技术咨询服务和机房规划配套指导。包括：机房设计图、机组基础图、机组安装定位图，及时解答客户在应用过程中遇到的疑难问题和提供相关的技术支持。</w:t>
      </w:r>
    </w:p>
    <w:p>
      <w:pPr>
        <w:pStyle w:val="27"/>
        <w:spacing w:line="360" w:lineRule="auto"/>
        <w:ind w:firstLine="315" w:firstLineChars="150"/>
        <w:rPr>
          <w:rFonts w:hAnsi="宋体" w:cs="宋体"/>
          <w:sz w:val="21"/>
          <w:szCs w:val="21"/>
        </w:rPr>
      </w:pPr>
      <w:r>
        <w:rPr>
          <w:rFonts w:hint="eastAsia" w:hAnsi="宋体" w:cs="宋体"/>
          <w:sz w:val="21"/>
          <w:szCs w:val="21"/>
        </w:rPr>
        <w:t>机组正常运行后，派工程技术人员对用户进行培训，讲解发电机组系统的工作原理，使用、保养、维修知识，定期巡访设备运行状况、直到用户满意为止。用户发电机组系统一旦出现故障，无论是保修期内，还是保修期外，投标人应</w:t>
      </w:r>
      <w:r>
        <w:rPr>
          <w:rFonts w:hAnsi="宋体" w:cs="宋体"/>
          <w:sz w:val="21"/>
          <w:szCs w:val="21"/>
        </w:rPr>
        <w:t>24</w:t>
      </w:r>
      <w:r>
        <w:rPr>
          <w:rFonts w:hint="eastAsia" w:hAnsi="宋体" w:cs="宋体"/>
          <w:sz w:val="21"/>
          <w:szCs w:val="21"/>
        </w:rPr>
        <w:t>小时内赶赴现场，为用户竭尽全力检查修理，排除故障。</w:t>
      </w:r>
    </w:p>
    <w:p>
      <w:pPr>
        <w:jc w:val="center"/>
        <w:rPr>
          <w:rFonts w:ascii="新宋体" w:hAnsi="新宋体" w:eastAsia="新宋体"/>
          <w:b/>
          <w:sz w:val="21"/>
          <w:szCs w:val="21"/>
        </w:rPr>
      </w:pPr>
      <w:r>
        <w:rPr>
          <w:rFonts w:hint="eastAsia" w:ascii="新宋体" w:hAnsi="新宋体" w:eastAsia="新宋体"/>
          <w:b/>
          <w:sz w:val="21"/>
          <w:szCs w:val="21"/>
        </w:rPr>
        <w:t>配置清单（单台量）</w:t>
      </w:r>
    </w:p>
    <w:tbl>
      <w:tblPr>
        <w:tblStyle w:val="55"/>
        <w:tblpPr w:leftFromText="180" w:rightFromText="180" w:vertAnchor="text" w:horzAnchor="margin" w:tblpXSpec="center" w:tblpY="288"/>
        <w:tblW w:w="7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4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28" w:type="dxa"/>
            <w:vAlign w:val="center"/>
          </w:tcPr>
          <w:p>
            <w:pPr>
              <w:spacing w:line="640" w:lineRule="exact"/>
              <w:jc w:val="center"/>
              <w:rPr>
                <w:rFonts w:ascii="新宋体" w:hAnsi="新宋体" w:eastAsia="新宋体"/>
                <w:sz w:val="21"/>
                <w:szCs w:val="21"/>
              </w:rPr>
            </w:pPr>
            <w:r>
              <w:rPr>
                <w:rFonts w:hint="eastAsia" w:ascii="新宋体" w:hAnsi="新宋体" w:eastAsia="新宋体"/>
                <w:sz w:val="21"/>
                <w:szCs w:val="21"/>
              </w:rPr>
              <w:t>序号</w:t>
            </w:r>
          </w:p>
        </w:tc>
        <w:tc>
          <w:tcPr>
            <w:tcW w:w="5400" w:type="dxa"/>
            <w:vAlign w:val="center"/>
          </w:tcPr>
          <w:p>
            <w:pPr>
              <w:spacing w:line="640" w:lineRule="exact"/>
              <w:jc w:val="center"/>
              <w:rPr>
                <w:rFonts w:ascii="新宋体" w:hAnsi="新宋体" w:eastAsia="新宋体"/>
                <w:sz w:val="21"/>
                <w:szCs w:val="21"/>
              </w:rPr>
            </w:pPr>
            <w:r>
              <w:rPr>
                <w:rFonts w:hint="eastAsia" w:ascii="新宋体" w:hAnsi="新宋体" w:eastAsia="新宋体"/>
                <w:sz w:val="21"/>
                <w:szCs w:val="21"/>
              </w:rPr>
              <w:t>名称</w:t>
            </w:r>
          </w:p>
        </w:tc>
        <w:tc>
          <w:tcPr>
            <w:tcW w:w="1620" w:type="dxa"/>
            <w:vAlign w:val="center"/>
          </w:tcPr>
          <w:p>
            <w:pPr>
              <w:spacing w:line="640" w:lineRule="exact"/>
              <w:jc w:val="center"/>
              <w:rPr>
                <w:rFonts w:ascii="新宋体" w:hAnsi="新宋体" w:eastAsia="新宋体"/>
                <w:sz w:val="21"/>
                <w:szCs w:val="21"/>
              </w:rPr>
            </w:pPr>
            <w:r>
              <w:rPr>
                <w:rFonts w:hint="eastAsia" w:ascii="新宋体" w:hAnsi="新宋体" w:eastAsia="新宋体"/>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28"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01</w:t>
            </w:r>
          </w:p>
        </w:tc>
        <w:tc>
          <w:tcPr>
            <w:tcW w:w="5400" w:type="dxa"/>
            <w:vAlign w:val="center"/>
          </w:tcPr>
          <w:p>
            <w:pPr>
              <w:spacing w:line="640" w:lineRule="exact"/>
              <w:jc w:val="center"/>
              <w:rPr>
                <w:rFonts w:ascii="新宋体" w:hAnsi="新宋体" w:eastAsia="新宋体"/>
                <w:sz w:val="21"/>
                <w:szCs w:val="21"/>
              </w:rPr>
            </w:pPr>
            <w:r>
              <w:rPr>
                <w:rFonts w:hint="eastAsia" w:ascii="新宋体" w:hAnsi="新宋体" w:eastAsia="新宋体"/>
                <w:sz w:val="21"/>
                <w:szCs w:val="21"/>
              </w:rPr>
              <w:t>全新机组</w:t>
            </w:r>
          </w:p>
        </w:tc>
        <w:tc>
          <w:tcPr>
            <w:tcW w:w="1620"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1</w:t>
            </w:r>
            <w:r>
              <w:rPr>
                <w:rFonts w:hint="eastAsia" w:ascii="新宋体" w:hAnsi="新宋体" w:eastAsia="新宋体"/>
                <w:sz w:val="21"/>
                <w:szCs w:val="21"/>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28"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02</w:t>
            </w:r>
          </w:p>
        </w:tc>
        <w:tc>
          <w:tcPr>
            <w:tcW w:w="5400" w:type="dxa"/>
            <w:vAlign w:val="center"/>
          </w:tcPr>
          <w:p>
            <w:pPr>
              <w:spacing w:line="640" w:lineRule="exact"/>
              <w:jc w:val="center"/>
              <w:rPr>
                <w:rFonts w:ascii="新宋体" w:hAnsi="新宋体" w:eastAsia="新宋体"/>
                <w:sz w:val="21"/>
                <w:szCs w:val="21"/>
              </w:rPr>
            </w:pPr>
            <w:r>
              <w:rPr>
                <w:rFonts w:hint="eastAsia" w:ascii="新宋体" w:hAnsi="新宋体" w:eastAsia="新宋体"/>
                <w:sz w:val="21"/>
                <w:szCs w:val="21"/>
              </w:rPr>
              <w:t>橡胶减震垫</w:t>
            </w:r>
            <w:r>
              <w:rPr>
                <w:rFonts w:ascii="新宋体" w:hAnsi="新宋体" w:eastAsia="新宋体"/>
                <w:sz w:val="21"/>
                <w:szCs w:val="21"/>
              </w:rPr>
              <w:t>5CM</w:t>
            </w:r>
          </w:p>
        </w:tc>
        <w:tc>
          <w:tcPr>
            <w:tcW w:w="1620"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4</w:t>
            </w:r>
            <w:r>
              <w:rPr>
                <w:rFonts w:hint="eastAsia" w:ascii="新宋体" w:hAnsi="新宋体" w:eastAsia="新宋体"/>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28"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03</w:t>
            </w:r>
          </w:p>
        </w:tc>
        <w:tc>
          <w:tcPr>
            <w:tcW w:w="5400" w:type="dxa"/>
            <w:vAlign w:val="center"/>
          </w:tcPr>
          <w:p>
            <w:pPr>
              <w:spacing w:line="640" w:lineRule="exact"/>
              <w:jc w:val="center"/>
              <w:rPr>
                <w:rFonts w:ascii="新宋体" w:hAnsi="新宋体" w:eastAsia="新宋体"/>
                <w:sz w:val="21"/>
                <w:szCs w:val="21"/>
              </w:rPr>
            </w:pPr>
            <w:r>
              <w:rPr>
                <w:rFonts w:hint="eastAsia" w:ascii="新宋体" w:hAnsi="新宋体" w:eastAsia="新宋体"/>
                <w:sz w:val="21"/>
                <w:szCs w:val="21"/>
              </w:rPr>
              <w:t>消声器</w:t>
            </w:r>
          </w:p>
        </w:tc>
        <w:tc>
          <w:tcPr>
            <w:tcW w:w="1620"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1</w:t>
            </w:r>
            <w:r>
              <w:rPr>
                <w:rFonts w:hint="eastAsia" w:ascii="新宋体" w:hAnsi="新宋体" w:eastAsia="新宋体"/>
                <w:sz w:val="2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28"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04</w:t>
            </w:r>
          </w:p>
        </w:tc>
        <w:tc>
          <w:tcPr>
            <w:tcW w:w="5400" w:type="dxa"/>
            <w:vAlign w:val="center"/>
          </w:tcPr>
          <w:p>
            <w:pPr>
              <w:spacing w:line="640" w:lineRule="exact"/>
              <w:jc w:val="center"/>
              <w:rPr>
                <w:rFonts w:ascii="新宋体" w:hAnsi="新宋体" w:eastAsia="新宋体"/>
                <w:sz w:val="21"/>
                <w:szCs w:val="21"/>
              </w:rPr>
            </w:pPr>
            <w:r>
              <w:rPr>
                <w:rFonts w:hint="eastAsia" w:ascii="新宋体" w:hAnsi="新宋体" w:eastAsia="新宋体"/>
                <w:sz w:val="21"/>
                <w:szCs w:val="21"/>
              </w:rPr>
              <w:t>操作规程表</w:t>
            </w:r>
          </w:p>
        </w:tc>
        <w:tc>
          <w:tcPr>
            <w:tcW w:w="1620"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1</w:t>
            </w:r>
            <w:r>
              <w:rPr>
                <w:rFonts w:hint="eastAsia" w:ascii="新宋体" w:hAnsi="新宋体" w:eastAsia="新宋体"/>
                <w:sz w:val="2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28"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05</w:t>
            </w:r>
          </w:p>
        </w:tc>
        <w:tc>
          <w:tcPr>
            <w:tcW w:w="5400" w:type="dxa"/>
            <w:vAlign w:val="center"/>
          </w:tcPr>
          <w:p>
            <w:pPr>
              <w:spacing w:line="640" w:lineRule="exact"/>
              <w:jc w:val="center"/>
              <w:rPr>
                <w:rFonts w:ascii="新宋体" w:hAnsi="新宋体" w:eastAsia="新宋体"/>
                <w:sz w:val="21"/>
                <w:szCs w:val="21"/>
              </w:rPr>
            </w:pPr>
            <w:r>
              <w:rPr>
                <w:rFonts w:hint="eastAsia" w:ascii="新宋体" w:hAnsi="新宋体" w:eastAsia="新宋体"/>
                <w:sz w:val="21"/>
                <w:szCs w:val="21"/>
              </w:rPr>
              <w:t>发动机使用说明书</w:t>
            </w:r>
          </w:p>
        </w:tc>
        <w:tc>
          <w:tcPr>
            <w:tcW w:w="1620"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1</w:t>
            </w:r>
            <w:r>
              <w:rPr>
                <w:rFonts w:hint="eastAsia" w:ascii="新宋体" w:hAnsi="新宋体" w:eastAsia="新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28"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06</w:t>
            </w:r>
          </w:p>
        </w:tc>
        <w:tc>
          <w:tcPr>
            <w:tcW w:w="5400" w:type="dxa"/>
            <w:vAlign w:val="center"/>
          </w:tcPr>
          <w:p>
            <w:pPr>
              <w:spacing w:line="640" w:lineRule="exact"/>
              <w:jc w:val="center"/>
              <w:rPr>
                <w:rFonts w:ascii="新宋体" w:hAnsi="新宋体" w:eastAsia="新宋体"/>
                <w:sz w:val="21"/>
                <w:szCs w:val="21"/>
              </w:rPr>
            </w:pPr>
            <w:r>
              <w:rPr>
                <w:rFonts w:hint="eastAsia" w:ascii="新宋体" w:hAnsi="新宋体" w:eastAsia="新宋体"/>
                <w:sz w:val="21"/>
                <w:szCs w:val="21"/>
              </w:rPr>
              <w:t>机组保修证明</w:t>
            </w:r>
          </w:p>
        </w:tc>
        <w:tc>
          <w:tcPr>
            <w:tcW w:w="1620"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1</w:t>
            </w:r>
            <w:r>
              <w:rPr>
                <w:rFonts w:hint="eastAsia" w:ascii="新宋体" w:hAnsi="新宋体" w:eastAsia="新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28"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07</w:t>
            </w:r>
          </w:p>
        </w:tc>
        <w:tc>
          <w:tcPr>
            <w:tcW w:w="5400" w:type="dxa"/>
            <w:vAlign w:val="center"/>
          </w:tcPr>
          <w:p>
            <w:pPr>
              <w:spacing w:line="640" w:lineRule="exact"/>
              <w:jc w:val="center"/>
              <w:rPr>
                <w:rFonts w:ascii="新宋体" w:hAnsi="新宋体" w:eastAsia="新宋体"/>
                <w:sz w:val="21"/>
                <w:szCs w:val="21"/>
              </w:rPr>
            </w:pPr>
            <w:r>
              <w:rPr>
                <w:rFonts w:hint="eastAsia" w:ascii="新宋体" w:hAnsi="新宋体" w:eastAsia="新宋体"/>
                <w:sz w:val="21"/>
                <w:szCs w:val="21"/>
              </w:rPr>
              <w:t>电机合格证</w:t>
            </w:r>
          </w:p>
        </w:tc>
        <w:tc>
          <w:tcPr>
            <w:tcW w:w="1620"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1</w:t>
            </w:r>
            <w:r>
              <w:rPr>
                <w:rFonts w:hint="eastAsia" w:ascii="新宋体" w:hAnsi="新宋体" w:eastAsia="新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28"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08</w:t>
            </w:r>
          </w:p>
        </w:tc>
        <w:tc>
          <w:tcPr>
            <w:tcW w:w="5400" w:type="dxa"/>
            <w:vAlign w:val="center"/>
          </w:tcPr>
          <w:p>
            <w:pPr>
              <w:spacing w:line="640" w:lineRule="exact"/>
              <w:jc w:val="center"/>
              <w:rPr>
                <w:rFonts w:ascii="新宋体" w:hAnsi="新宋体" w:eastAsia="新宋体"/>
                <w:sz w:val="21"/>
                <w:szCs w:val="21"/>
              </w:rPr>
            </w:pPr>
            <w:r>
              <w:rPr>
                <w:rFonts w:hint="eastAsia" w:ascii="新宋体" w:hAnsi="新宋体" w:eastAsia="新宋体"/>
                <w:sz w:val="21"/>
                <w:szCs w:val="21"/>
              </w:rPr>
              <w:t>电机使用资料</w:t>
            </w:r>
          </w:p>
        </w:tc>
        <w:tc>
          <w:tcPr>
            <w:tcW w:w="1620"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1</w:t>
            </w:r>
            <w:r>
              <w:rPr>
                <w:rFonts w:hint="eastAsia" w:ascii="新宋体" w:hAnsi="新宋体" w:eastAsia="新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28"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09</w:t>
            </w:r>
          </w:p>
        </w:tc>
        <w:tc>
          <w:tcPr>
            <w:tcW w:w="5400" w:type="dxa"/>
            <w:vAlign w:val="center"/>
          </w:tcPr>
          <w:p>
            <w:pPr>
              <w:spacing w:line="640" w:lineRule="exact"/>
              <w:jc w:val="center"/>
              <w:rPr>
                <w:rFonts w:ascii="新宋体" w:hAnsi="新宋体" w:eastAsia="新宋体"/>
                <w:color w:val="FF0000"/>
                <w:sz w:val="21"/>
                <w:szCs w:val="21"/>
              </w:rPr>
            </w:pPr>
            <w:r>
              <w:rPr>
                <w:rFonts w:hint="eastAsia" w:ascii="新宋体" w:hAnsi="新宋体" w:eastAsia="新宋体"/>
                <w:sz w:val="21"/>
                <w:szCs w:val="21"/>
              </w:rPr>
              <w:t>蓄电池</w:t>
            </w:r>
          </w:p>
        </w:tc>
        <w:tc>
          <w:tcPr>
            <w:tcW w:w="1620"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2</w:t>
            </w:r>
            <w:r>
              <w:rPr>
                <w:rFonts w:hint="eastAsia" w:ascii="新宋体" w:hAnsi="新宋体" w:eastAsia="新宋体"/>
                <w:sz w:val="21"/>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28"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10</w:t>
            </w:r>
          </w:p>
        </w:tc>
        <w:tc>
          <w:tcPr>
            <w:tcW w:w="5400" w:type="dxa"/>
            <w:vAlign w:val="center"/>
          </w:tcPr>
          <w:p>
            <w:pPr>
              <w:spacing w:line="640" w:lineRule="exact"/>
              <w:jc w:val="center"/>
              <w:rPr>
                <w:rFonts w:ascii="新宋体" w:hAnsi="新宋体" w:eastAsia="新宋体"/>
                <w:sz w:val="21"/>
                <w:szCs w:val="21"/>
              </w:rPr>
            </w:pPr>
            <w:r>
              <w:rPr>
                <w:rFonts w:hint="eastAsia" w:ascii="新宋体" w:hAnsi="新宋体" w:eastAsia="新宋体"/>
                <w:sz w:val="21"/>
                <w:szCs w:val="21"/>
              </w:rPr>
              <w:t>电池线</w:t>
            </w:r>
          </w:p>
        </w:tc>
        <w:tc>
          <w:tcPr>
            <w:tcW w:w="1620" w:type="dxa"/>
            <w:vAlign w:val="center"/>
          </w:tcPr>
          <w:p>
            <w:pPr>
              <w:spacing w:line="640" w:lineRule="exact"/>
              <w:jc w:val="center"/>
              <w:rPr>
                <w:rFonts w:ascii="新宋体" w:hAnsi="新宋体" w:eastAsia="新宋体"/>
                <w:sz w:val="21"/>
                <w:szCs w:val="21"/>
              </w:rPr>
            </w:pPr>
            <w:r>
              <w:rPr>
                <w:rFonts w:ascii="新宋体" w:hAnsi="新宋体" w:eastAsia="新宋体"/>
                <w:sz w:val="21"/>
                <w:szCs w:val="21"/>
              </w:rPr>
              <w:t>1</w:t>
            </w:r>
            <w:r>
              <w:rPr>
                <w:rFonts w:hint="eastAsia" w:ascii="新宋体" w:hAnsi="新宋体" w:eastAsia="新宋体"/>
                <w:sz w:val="21"/>
                <w:szCs w:val="21"/>
              </w:rPr>
              <w:t>套</w:t>
            </w:r>
          </w:p>
        </w:tc>
      </w:tr>
    </w:tbl>
    <w:p>
      <w:pPr>
        <w:rPr>
          <w:rFonts w:ascii="新宋体" w:hAnsi="新宋体" w:eastAsia="新宋体"/>
          <w:b/>
          <w:sz w:val="36"/>
          <w:szCs w:val="36"/>
        </w:rPr>
      </w:pPr>
    </w:p>
    <w:p>
      <w:pPr>
        <w:rPr>
          <w:rFonts w:ascii="新宋体" w:hAnsi="新宋体" w:eastAsia="新宋体"/>
          <w:b/>
          <w:sz w:val="36"/>
          <w:szCs w:val="36"/>
        </w:rPr>
      </w:pPr>
    </w:p>
    <w:p>
      <w:pPr>
        <w:rPr>
          <w:rFonts w:ascii="新宋体" w:hAnsi="新宋体" w:eastAsia="新宋体"/>
          <w:b/>
          <w:sz w:val="36"/>
          <w:szCs w:val="36"/>
        </w:rPr>
      </w:pPr>
    </w:p>
    <w:p>
      <w:pPr>
        <w:rPr>
          <w:rFonts w:ascii="新宋体" w:hAnsi="新宋体" w:eastAsia="新宋体"/>
          <w:b/>
          <w:sz w:val="36"/>
          <w:szCs w:val="36"/>
        </w:rPr>
      </w:pPr>
    </w:p>
    <w:p>
      <w:pPr>
        <w:rPr>
          <w:rFonts w:ascii="新宋体" w:hAnsi="新宋体" w:eastAsia="新宋体"/>
          <w:b/>
          <w:sz w:val="36"/>
          <w:szCs w:val="36"/>
        </w:rPr>
      </w:pPr>
    </w:p>
    <w:p>
      <w:pPr>
        <w:rPr>
          <w:rFonts w:ascii="新宋体" w:hAnsi="新宋体" w:eastAsia="新宋体"/>
          <w:b/>
          <w:sz w:val="36"/>
          <w:szCs w:val="36"/>
        </w:rPr>
      </w:pPr>
    </w:p>
    <w:p>
      <w:pPr>
        <w:rPr>
          <w:rFonts w:ascii="新宋体" w:hAnsi="新宋体" w:eastAsia="新宋体"/>
          <w:b/>
          <w:sz w:val="36"/>
          <w:szCs w:val="36"/>
        </w:rPr>
      </w:pPr>
    </w:p>
    <w:p>
      <w:pPr>
        <w:rPr>
          <w:rFonts w:ascii="新宋体" w:hAnsi="新宋体" w:eastAsia="新宋体"/>
          <w:b/>
          <w:sz w:val="36"/>
          <w:szCs w:val="36"/>
        </w:rPr>
      </w:pPr>
    </w:p>
    <w:p>
      <w:pPr>
        <w:rPr>
          <w:rFonts w:ascii="新宋体" w:hAnsi="新宋体" w:eastAsia="新宋体"/>
          <w:b/>
          <w:sz w:val="36"/>
          <w:szCs w:val="36"/>
        </w:rPr>
      </w:pPr>
    </w:p>
    <w:p>
      <w:pPr>
        <w:rPr>
          <w:rFonts w:hint="eastAsia" w:ascii="新宋体" w:hAnsi="新宋体" w:eastAsia="新宋体"/>
          <w:b/>
          <w:sz w:val="36"/>
          <w:szCs w:val="36"/>
        </w:rPr>
      </w:pPr>
    </w:p>
    <w:p>
      <w:pPr>
        <w:rPr>
          <w:rFonts w:hint="eastAsia" w:ascii="新宋体" w:hAnsi="新宋体" w:eastAsia="新宋体"/>
          <w:b/>
          <w:sz w:val="36"/>
          <w:szCs w:val="36"/>
        </w:rPr>
      </w:pPr>
    </w:p>
    <w:p>
      <w:pPr>
        <w:rPr>
          <w:rFonts w:hint="eastAsia" w:ascii="新宋体" w:hAnsi="新宋体" w:eastAsia="新宋体"/>
          <w:b/>
          <w:sz w:val="36"/>
          <w:szCs w:val="36"/>
        </w:rPr>
      </w:pPr>
    </w:p>
    <w:p>
      <w:pPr>
        <w:rPr>
          <w:rFonts w:hint="eastAsia" w:ascii="新宋体" w:hAnsi="新宋体" w:eastAsia="新宋体"/>
          <w:b/>
          <w:sz w:val="36"/>
          <w:szCs w:val="36"/>
        </w:rPr>
      </w:pPr>
    </w:p>
    <w:p>
      <w:pPr>
        <w:rPr>
          <w:rFonts w:hint="eastAsia" w:ascii="新宋体" w:hAnsi="新宋体" w:eastAsia="新宋体"/>
          <w:b/>
          <w:sz w:val="36"/>
          <w:szCs w:val="36"/>
        </w:rPr>
      </w:pPr>
    </w:p>
    <w:p>
      <w:pPr>
        <w:rPr>
          <w:rFonts w:hint="eastAsia" w:ascii="新宋体" w:hAnsi="新宋体" w:eastAsia="新宋体"/>
          <w:b/>
          <w:sz w:val="36"/>
          <w:szCs w:val="36"/>
        </w:rPr>
      </w:pPr>
    </w:p>
    <w:p>
      <w:pPr>
        <w:pStyle w:val="27"/>
        <w:spacing w:line="360" w:lineRule="auto"/>
        <w:rPr>
          <w:rFonts w:hint="eastAsia" w:cs="Times New Roman"/>
          <w:sz w:val="24"/>
          <w:szCs w:val="24"/>
          <w:shd w:val="clear" w:color="auto" w:fill="FFFFFF"/>
        </w:rPr>
      </w:pPr>
      <w:r>
        <w:rPr>
          <w:rFonts w:hint="eastAsia" w:cs="Times New Roman"/>
          <w:b/>
          <w:bCs/>
          <w:sz w:val="24"/>
          <w:szCs w:val="24"/>
          <w:shd w:val="clear" w:color="auto" w:fill="FFFFFF"/>
        </w:rPr>
        <w:t>发电机环保工程的主要项目内容：</w:t>
      </w:r>
    </w:p>
    <w:p>
      <w:pPr>
        <w:pStyle w:val="27"/>
        <w:spacing w:line="360" w:lineRule="auto"/>
        <w:ind w:firstLine="420" w:firstLineChars="200"/>
        <w:rPr>
          <w:sz w:val="21"/>
          <w:szCs w:val="21"/>
          <w:shd w:val="clear" w:color="auto" w:fill="FFFFFF"/>
        </w:rPr>
      </w:pPr>
      <w:r>
        <w:rPr>
          <w:rFonts w:hint="eastAsia"/>
          <w:sz w:val="21"/>
          <w:szCs w:val="21"/>
          <w:shd w:val="clear" w:color="auto" w:fill="FFFFFF"/>
        </w:rPr>
        <w:t>机房进风道、散热排风道消声器设计施工；机房天花顶和墙壁吸音体设计施工；废气二级消声</w:t>
      </w:r>
      <w:r>
        <w:rPr>
          <w:sz w:val="21"/>
          <w:szCs w:val="21"/>
          <w:shd w:val="clear" w:color="auto" w:fill="FFFFFF"/>
        </w:rPr>
        <w:t>/</w:t>
      </w:r>
      <w:r>
        <w:rPr>
          <w:rFonts w:hint="eastAsia"/>
          <w:sz w:val="21"/>
          <w:szCs w:val="21"/>
          <w:shd w:val="clear" w:color="auto" w:fill="FFFFFF"/>
        </w:rPr>
        <w:t>喷淋除烟器设计师施工；金属结构隔音门安装施工；负责机组、油箱等设备基础设计及施工。</w:t>
      </w:r>
    </w:p>
    <w:p>
      <w:pPr>
        <w:pStyle w:val="27"/>
        <w:spacing w:line="360" w:lineRule="auto"/>
        <w:rPr>
          <w:rFonts w:hint="eastAsia" w:eastAsia="宋体"/>
          <w:sz w:val="21"/>
          <w:szCs w:val="21"/>
          <w:shd w:val="clear" w:color="auto" w:fill="FFFFFF"/>
          <w:lang w:val="en-US" w:eastAsia="zh-CN"/>
        </w:rPr>
      </w:pPr>
      <w:r>
        <w:rPr>
          <w:rFonts w:hint="eastAsia"/>
          <w:sz w:val="21"/>
          <w:szCs w:val="21"/>
          <w:shd w:val="clear" w:color="auto" w:fill="FFFFFF"/>
          <w:lang w:val="en-US" w:eastAsia="zh-CN"/>
        </w:rPr>
        <w:t xml:space="preserve"> </w:t>
      </w:r>
    </w:p>
    <w:p>
      <w:pPr>
        <w:pStyle w:val="27"/>
        <w:spacing w:line="360" w:lineRule="auto"/>
        <w:ind w:firstLine="422" w:firstLineChars="200"/>
        <w:rPr>
          <w:rFonts w:hAnsi="宋体"/>
          <w:b/>
          <w:sz w:val="21"/>
          <w:szCs w:val="21"/>
        </w:rPr>
      </w:pPr>
      <w:r>
        <w:rPr>
          <w:rFonts w:hint="eastAsia" w:hAnsi="宋体"/>
          <w:b/>
          <w:sz w:val="21"/>
          <w:szCs w:val="21"/>
        </w:rPr>
        <w:t>附件</w:t>
      </w:r>
      <w:r>
        <w:rPr>
          <w:rFonts w:hAnsi="宋体"/>
          <w:b/>
          <w:sz w:val="21"/>
          <w:szCs w:val="21"/>
        </w:rPr>
        <w:t>1</w:t>
      </w:r>
      <w:r>
        <w:rPr>
          <w:rFonts w:hint="eastAsia" w:hAnsi="宋体"/>
          <w:b/>
          <w:sz w:val="21"/>
          <w:szCs w:val="21"/>
        </w:rPr>
        <w:t>：发电机房环保工程明细</w:t>
      </w:r>
    </w:p>
    <w:tbl>
      <w:tblPr>
        <w:tblStyle w:val="55"/>
        <w:tblW w:w="8709" w:type="dxa"/>
        <w:jc w:val="center"/>
        <w:tblInd w:w="0" w:type="dxa"/>
        <w:tblLayout w:type="fixed"/>
        <w:tblCellMar>
          <w:top w:w="0" w:type="dxa"/>
          <w:left w:w="108" w:type="dxa"/>
          <w:bottom w:w="0" w:type="dxa"/>
          <w:right w:w="108" w:type="dxa"/>
        </w:tblCellMar>
      </w:tblPr>
      <w:tblGrid>
        <w:gridCol w:w="464"/>
        <w:gridCol w:w="3060"/>
        <w:gridCol w:w="3060"/>
        <w:gridCol w:w="998"/>
        <w:gridCol w:w="1127"/>
      </w:tblGrid>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3060"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3060"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规格、型号、参数</w:t>
            </w:r>
          </w:p>
        </w:tc>
        <w:tc>
          <w:tcPr>
            <w:tcW w:w="998"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w:t>
            </w:r>
          </w:p>
        </w:tc>
        <w:tc>
          <w:tcPr>
            <w:tcW w:w="1127"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数量</w:t>
            </w:r>
          </w:p>
        </w:tc>
      </w:tr>
      <w:tr>
        <w:tblPrEx>
          <w:tblLayout w:type="fixed"/>
          <w:tblCellMar>
            <w:top w:w="0" w:type="dxa"/>
            <w:left w:w="108" w:type="dxa"/>
            <w:bottom w:w="0" w:type="dxa"/>
            <w:right w:w="108" w:type="dxa"/>
          </w:tblCellMar>
        </w:tblPrEx>
        <w:trPr>
          <w:trHeight w:val="540" w:hRule="atLeast"/>
          <w:jc w:val="center"/>
        </w:trPr>
        <w:tc>
          <w:tcPr>
            <w:tcW w:w="464" w:type="dxa"/>
            <w:tcBorders>
              <w:top w:val="nil"/>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060" w:type="dxa"/>
            <w:tcBorders>
              <w:top w:val="nil"/>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进风消声室（图示）</w:t>
            </w:r>
          </w:p>
        </w:tc>
        <w:tc>
          <w:tcPr>
            <w:tcW w:w="3060" w:type="dxa"/>
            <w:tcBorders>
              <w:top w:val="nil"/>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50K锡箔岩棉板、玻璃丝布、铁丝网、角铁、镀锌板，吸音片规格为2000×1000×100</w:t>
            </w:r>
          </w:p>
        </w:tc>
        <w:tc>
          <w:tcPr>
            <w:tcW w:w="998" w:type="dxa"/>
            <w:tcBorders>
              <w:top w:val="nil"/>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1127" w:type="dxa"/>
            <w:tcBorders>
              <w:top w:val="nil"/>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排风消声室（图示）</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50K锡箔岩棉板、玻璃丝布、铁丝网、角铁、镀锌板，吸音片规格为2000×1000×100</w:t>
            </w:r>
          </w:p>
        </w:tc>
        <w:tc>
          <w:tcPr>
            <w:tcW w:w="998"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1127"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排风口软连接</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角铁、镀锌板、帆布</w:t>
            </w:r>
          </w:p>
        </w:tc>
        <w:tc>
          <w:tcPr>
            <w:tcW w:w="998"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1127"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黑烟喷淋箱（二次消声除尘器）</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1000*1200*800，3㎜钢板、螺旋喷头、镀锌水管、电磁阀</w:t>
            </w:r>
          </w:p>
        </w:tc>
        <w:tc>
          <w:tcPr>
            <w:tcW w:w="998"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1127"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喷淋箱控制系统</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电磁阀，控制箱等</w:t>
            </w:r>
          </w:p>
        </w:tc>
        <w:tc>
          <w:tcPr>
            <w:tcW w:w="998"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1127"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3060" w:type="dxa"/>
            <w:tcBorders>
              <w:top w:val="nil"/>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喷淋箱进水管、排水管（室内）</w:t>
            </w:r>
          </w:p>
        </w:tc>
        <w:tc>
          <w:tcPr>
            <w:tcW w:w="3060" w:type="dxa"/>
            <w:tcBorders>
              <w:top w:val="nil"/>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PVC管，φ40</w:t>
            </w:r>
          </w:p>
        </w:tc>
        <w:tc>
          <w:tcPr>
            <w:tcW w:w="998" w:type="dxa"/>
            <w:tcBorders>
              <w:top w:val="nil"/>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w:t>
            </w:r>
          </w:p>
        </w:tc>
        <w:tc>
          <w:tcPr>
            <w:tcW w:w="1127" w:type="dxa"/>
            <w:tcBorders>
              <w:top w:val="nil"/>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排烟管及吊架(机组到喷淋)</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5寸焊管(3mmT)+角铁+弯头+消声器安装</w:t>
            </w:r>
          </w:p>
        </w:tc>
        <w:tc>
          <w:tcPr>
            <w:tcW w:w="998"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米</w:t>
            </w:r>
          </w:p>
        </w:tc>
        <w:tc>
          <w:tcPr>
            <w:tcW w:w="1127"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排烟管及吊架(喷淋箱到烟井)</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8寸焊管(3mmT)+角铁+弯头+消声器安装</w:t>
            </w:r>
          </w:p>
        </w:tc>
        <w:tc>
          <w:tcPr>
            <w:tcW w:w="998"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米</w:t>
            </w:r>
          </w:p>
        </w:tc>
        <w:tc>
          <w:tcPr>
            <w:tcW w:w="1127"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吸音吊顶</w:t>
            </w:r>
          </w:p>
        </w:tc>
        <w:tc>
          <w:tcPr>
            <w:tcW w:w="3060" w:type="dxa"/>
            <w:tcBorders>
              <w:top w:val="nil"/>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600*600穿孔铝扣板、岩棉板、角铁、龙骨</w:t>
            </w:r>
          </w:p>
        </w:tc>
        <w:tc>
          <w:tcPr>
            <w:tcW w:w="998" w:type="dxa"/>
            <w:tcBorders>
              <w:top w:val="nil"/>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M</w:t>
            </w:r>
            <w:r>
              <w:rPr>
                <w:rFonts w:hint="eastAsia" w:asciiTheme="minorEastAsia" w:hAnsiTheme="minorEastAsia" w:eastAsiaTheme="minorEastAsia" w:cstheme="minorEastAsia"/>
                <w:kern w:val="0"/>
                <w:sz w:val="21"/>
                <w:szCs w:val="21"/>
                <w:vertAlign w:val="superscript"/>
              </w:rPr>
              <w:t>2</w:t>
            </w:r>
          </w:p>
        </w:tc>
        <w:tc>
          <w:tcPr>
            <w:tcW w:w="1127" w:type="dxa"/>
            <w:tcBorders>
              <w:top w:val="nil"/>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吸音墙壁</w:t>
            </w:r>
          </w:p>
        </w:tc>
        <w:tc>
          <w:tcPr>
            <w:tcW w:w="3060" w:type="dxa"/>
            <w:tcBorders>
              <w:top w:val="nil"/>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600*600穿孔铝扣板、岩棉板、角铁、龙骨</w:t>
            </w:r>
          </w:p>
        </w:tc>
        <w:tc>
          <w:tcPr>
            <w:tcW w:w="998" w:type="dxa"/>
            <w:tcBorders>
              <w:top w:val="nil"/>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M</w:t>
            </w:r>
            <w:r>
              <w:rPr>
                <w:rFonts w:hint="eastAsia" w:asciiTheme="minorEastAsia" w:hAnsiTheme="minorEastAsia" w:eastAsiaTheme="minorEastAsia" w:cstheme="minorEastAsia"/>
                <w:kern w:val="0"/>
                <w:sz w:val="21"/>
                <w:szCs w:val="21"/>
                <w:vertAlign w:val="superscript"/>
              </w:rPr>
              <w:t>2</w:t>
            </w:r>
          </w:p>
        </w:tc>
        <w:tc>
          <w:tcPr>
            <w:tcW w:w="1127" w:type="dxa"/>
            <w:tcBorders>
              <w:top w:val="nil"/>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喷淋箱\消声器\室内排烟管保温</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玻璃纤维棉及铝铂纸外饰</w:t>
            </w:r>
          </w:p>
        </w:tc>
        <w:tc>
          <w:tcPr>
            <w:tcW w:w="998"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米</w:t>
            </w:r>
          </w:p>
        </w:tc>
        <w:tc>
          <w:tcPr>
            <w:tcW w:w="1127"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机房内进、回油管</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镀锌管、胶管</w:t>
            </w:r>
          </w:p>
        </w:tc>
        <w:tc>
          <w:tcPr>
            <w:tcW w:w="998"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w:t>
            </w:r>
          </w:p>
        </w:tc>
        <w:tc>
          <w:tcPr>
            <w:tcW w:w="1127"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防火隔声门（专业厂家订制）</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1000*2000*100（MM）,2㎜钢板、50K岩棉板、方通、门锁密封胶条</w:t>
            </w:r>
          </w:p>
        </w:tc>
        <w:tc>
          <w:tcPr>
            <w:tcW w:w="998"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扇</w:t>
            </w:r>
          </w:p>
        </w:tc>
        <w:tc>
          <w:tcPr>
            <w:tcW w:w="1127"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516" w:hRule="atLeast"/>
          <w:jc w:val="center"/>
        </w:trPr>
        <w:tc>
          <w:tcPr>
            <w:tcW w:w="464"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w:t>
            </w:r>
          </w:p>
        </w:tc>
        <w:tc>
          <w:tcPr>
            <w:tcW w:w="3060" w:type="dxa"/>
            <w:tcBorders>
              <w:top w:val="nil"/>
              <w:left w:val="nil"/>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日用油箱（800L）</w:t>
            </w:r>
          </w:p>
        </w:tc>
        <w:tc>
          <w:tcPr>
            <w:tcW w:w="3060" w:type="dxa"/>
            <w:tcBorders>
              <w:top w:val="nil"/>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铁板（带3排污阀等）</w:t>
            </w:r>
          </w:p>
        </w:tc>
        <w:tc>
          <w:tcPr>
            <w:tcW w:w="998" w:type="dxa"/>
            <w:tcBorders>
              <w:top w:val="nil"/>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1127" w:type="dxa"/>
            <w:tcBorders>
              <w:top w:val="nil"/>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r>
        <w:tblPrEx>
          <w:tblLayout w:type="fixed"/>
          <w:tblCellMar>
            <w:top w:w="0" w:type="dxa"/>
            <w:left w:w="108" w:type="dxa"/>
            <w:bottom w:w="0" w:type="dxa"/>
            <w:right w:w="108" w:type="dxa"/>
          </w:tblCellMar>
        </w:tblPrEx>
        <w:trPr>
          <w:trHeight w:val="441" w:hRule="atLeast"/>
          <w:jc w:val="center"/>
        </w:trPr>
        <w:tc>
          <w:tcPr>
            <w:tcW w:w="464"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小五金杂件</w:t>
            </w:r>
          </w:p>
        </w:tc>
        <w:tc>
          <w:tcPr>
            <w:tcW w:w="3060" w:type="dxa"/>
            <w:tcBorders>
              <w:top w:val="single" w:color="000000" w:sz="4" w:space="0"/>
              <w:left w:val="nil"/>
              <w:bottom w:val="single" w:color="000000" w:sz="4" w:space="0"/>
              <w:right w:val="single" w:color="000000" w:sz="4" w:space="0"/>
            </w:tcBorders>
            <w:vAlign w:val="center"/>
          </w:tcPr>
          <w:p>
            <w:pPr>
              <w:widowControl/>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膨胀螺丝、油漆、电池架等</w:t>
            </w:r>
          </w:p>
        </w:tc>
        <w:tc>
          <w:tcPr>
            <w:tcW w:w="998" w:type="dxa"/>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w:t>
            </w:r>
          </w:p>
        </w:tc>
        <w:tc>
          <w:tcPr>
            <w:tcW w:w="1127"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按现场</w:t>
            </w:r>
          </w:p>
        </w:tc>
      </w:tr>
    </w:tbl>
    <w:p>
      <w:pPr>
        <w:pStyle w:val="27"/>
        <w:spacing w:line="360" w:lineRule="auto"/>
        <w:ind w:firstLine="315" w:firstLineChars="150"/>
        <w:rPr>
          <w:rFonts w:hint="eastAsia" w:hAnsi="宋体" w:cs="宋体"/>
          <w:sz w:val="21"/>
          <w:szCs w:val="21"/>
        </w:rPr>
      </w:pPr>
    </w:p>
    <w:p>
      <w:pPr>
        <w:pStyle w:val="27"/>
        <w:spacing w:line="360" w:lineRule="auto"/>
        <w:ind w:firstLine="315" w:firstLineChars="150"/>
        <w:rPr>
          <w:rFonts w:hAnsi="宋体" w:cs="宋体"/>
          <w:sz w:val="21"/>
          <w:szCs w:val="21"/>
        </w:rPr>
      </w:pPr>
      <w:r>
        <w:rPr>
          <w:rFonts w:hint="eastAsia" w:hAnsi="宋体" w:cs="宋体"/>
          <w:sz w:val="21"/>
          <w:szCs w:val="21"/>
        </w:rPr>
        <w:t>发电机组主要性能指标要求：</w:t>
      </w:r>
    </w:p>
    <w:p>
      <w:pPr>
        <w:pStyle w:val="27"/>
        <w:spacing w:line="360" w:lineRule="auto"/>
        <w:ind w:firstLine="315" w:firstLineChars="150"/>
        <w:rPr>
          <w:rFonts w:hAnsi="宋体" w:cs="宋体"/>
          <w:sz w:val="21"/>
          <w:szCs w:val="21"/>
          <w:highlight w:val="none"/>
        </w:rPr>
      </w:pPr>
      <w:r>
        <w:rPr>
          <w:rFonts w:hAnsi="宋体" w:cs="宋体"/>
          <w:sz w:val="21"/>
          <w:szCs w:val="21"/>
        </w:rPr>
        <w:t>1</w:t>
      </w:r>
      <w:r>
        <w:rPr>
          <w:rFonts w:hint="eastAsia" w:hAnsi="宋体" w:cs="宋体"/>
          <w:sz w:val="21"/>
          <w:szCs w:val="21"/>
        </w:rPr>
        <w:t>、</w:t>
      </w:r>
      <w:r>
        <w:rPr>
          <w:rFonts w:hint="eastAsia" w:hAnsi="宋体"/>
          <w:color w:val="000000"/>
          <w:u w:val="none"/>
        </w:rPr>
        <w:t>★</w:t>
      </w:r>
      <w:r>
        <w:rPr>
          <w:rFonts w:hint="eastAsia" w:hAnsi="宋体" w:cs="宋体"/>
          <w:sz w:val="21"/>
          <w:szCs w:val="21"/>
        </w:rPr>
        <w:t>额定容量：</w:t>
      </w:r>
      <w:r>
        <w:rPr>
          <w:rFonts w:hint="eastAsia" w:hAnsi="宋体" w:cs="宋体"/>
          <w:sz w:val="21"/>
          <w:szCs w:val="21"/>
          <w:highlight w:val="none"/>
        </w:rPr>
        <w:t>常用</w:t>
      </w:r>
      <w:r>
        <w:rPr>
          <w:rFonts w:hint="eastAsia" w:hAnsi="宋体"/>
          <w:color w:val="000000"/>
          <w:highlight w:val="none"/>
          <w:u w:val="single"/>
        </w:rPr>
        <w:t>≥</w:t>
      </w:r>
      <w:r>
        <w:rPr>
          <w:rFonts w:hAnsi="宋体" w:cs="宋体"/>
          <w:sz w:val="21"/>
          <w:szCs w:val="21"/>
          <w:highlight w:val="none"/>
        </w:rPr>
        <w:t>355(KW)</w:t>
      </w:r>
      <w:r>
        <w:rPr>
          <w:rFonts w:hint="eastAsia" w:hAnsi="宋体" w:cs="宋体"/>
          <w:sz w:val="21"/>
          <w:szCs w:val="21"/>
          <w:highlight w:val="none"/>
        </w:rPr>
        <w:t>，备用</w:t>
      </w:r>
      <w:r>
        <w:rPr>
          <w:rFonts w:hint="eastAsia" w:hAnsi="宋体"/>
          <w:color w:val="000000"/>
          <w:highlight w:val="none"/>
          <w:u w:val="single"/>
        </w:rPr>
        <w:t>≥</w:t>
      </w:r>
      <w:r>
        <w:rPr>
          <w:rFonts w:hAnsi="宋体" w:cs="宋体"/>
          <w:sz w:val="21"/>
          <w:szCs w:val="21"/>
          <w:highlight w:val="none"/>
        </w:rPr>
        <w:t>400</w:t>
      </w:r>
      <w:r>
        <w:rPr>
          <w:rFonts w:hint="eastAsia" w:hAnsi="宋体" w:cs="宋体"/>
          <w:sz w:val="21"/>
          <w:szCs w:val="21"/>
          <w:highlight w:val="none"/>
        </w:rPr>
        <w:t>（</w:t>
      </w:r>
      <w:r>
        <w:rPr>
          <w:rFonts w:hAnsi="宋体" w:cs="宋体"/>
          <w:sz w:val="21"/>
          <w:szCs w:val="21"/>
          <w:highlight w:val="none"/>
        </w:rPr>
        <w:t>KW</w:t>
      </w:r>
      <w:r>
        <w:rPr>
          <w:rFonts w:hint="eastAsia" w:hAnsi="宋体" w:cs="宋体"/>
          <w:sz w:val="21"/>
          <w:szCs w:val="21"/>
          <w:highlight w:val="none"/>
        </w:rPr>
        <w:t>）</w:t>
      </w:r>
    </w:p>
    <w:p>
      <w:pPr>
        <w:pStyle w:val="27"/>
        <w:spacing w:line="360" w:lineRule="auto"/>
        <w:ind w:firstLine="315" w:firstLineChars="150"/>
        <w:rPr>
          <w:rFonts w:hAnsi="宋体" w:cs="宋体"/>
          <w:sz w:val="21"/>
          <w:szCs w:val="21"/>
          <w:highlight w:val="none"/>
        </w:rPr>
      </w:pPr>
      <w:r>
        <w:rPr>
          <w:rFonts w:hAnsi="宋体" w:cs="宋体"/>
          <w:sz w:val="21"/>
          <w:szCs w:val="21"/>
          <w:highlight w:val="none"/>
        </w:rPr>
        <w:t>2</w:t>
      </w:r>
      <w:r>
        <w:rPr>
          <w:rFonts w:hint="eastAsia" w:hAnsi="宋体" w:cs="宋体"/>
          <w:sz w:val="21"/>
          <w:szCs w:val="21"/>
          <w:highlight w:val="none"/>
        </w:rPr>
        <w:t>、额定电压：</w:t>
      </w:r>
      <w:r>
        <w:rPr>
          <w:rFonts w:hAnsi="宋体" w:cs="宋体"/>
          <w:sz w:val="21"/>
          <w:szCs w:val="21"/>
          <w:highlight w:val="none"/>
        </w:rPr>
        <w:t>400V / 250V</w:t>
      </w:r>
    </w:p>
    <w:p>
      <w:pPr>
        <w:pStyle w:val="27"/>
        <w:spacing w:line="360" w:lineRule="auto"/>
        <w:ind w:firstLine="315" w:firstLineChars="150"/>
        <w:rPr>
          <w:rFonts w:hAnsi="宋体" w:cs="宋体"/>
          <w:sz w:val="21"/>
          <w:szCs w:val="21"/>
        </w:rPr>
      </w:pPr>
      <w:r>
        <w:rPr>
          <w:rFonts w:hAnsi="宋体" w:cs="宋体"/>
          <w:sz w:val="21"/>
          <w:szCs w:val="21"/>
        </w:rPr>
        <w:t>3</w:t>
      </w:r>
      <w:r>
        <w:rPr>
          <w:rFonts w:hint="eastAsia" w:hAnsi="宋体" w:cs="宋体"/>
          <w:sz w:val="21"/>
          <w:szCs w:val="21"/>
        </w:rPr>
        <w:t>、额定电流：约</w:t>
      </w:r>
      <w:r>
        <w:rPr>
          <w:rFonts w:hAnsi="宋体" w:cs="宋体"/>
          <w:sz w:val="21"/>
          <w:szCs w:val="21"/>
        </w:rPr>
        <w:t>710A</w:t>
      </w:r>
    </w:p>
    <w:p>
      <w:pPr>
        <w:pStyle w:val="27"/>
        <w:spacing w:line="360" w:lineRule="auto"/>
        <w:ind w:firstLine="315" w:firstLineChars="150"/>
        <w:rPr>
          <w:rFonts w:hAnsi="宋体" w:cs="宋体"/>
          <w:sz w:val="21"/>
          <w:szCs w:val="21"/>
        </w:rPr>
      </w:pPr>
      <w:r>
        <w:rPr>
          <w:rFonts w:hAnsi="宋体" w:cs="宋体"/>
          <w:sz w:val="21"/>
          <w:szCs w:val="21"/>
        </w:rPr>
        <w:t>4</w:t>
      </w:r>
      <w:r>
        <w:rPr>
          <w:rFonts w:hint="eastAsia" w:hAnsi="宋体" w:cs="宋体"/>
          <w:sz w:val="21"/>
          <w:szCs w:val="21"/>
        </w:rPr>
        <w:t>、额定频率：</w:t>
      </w:r>
      <w:r>
        <w:rPr>
          <w:rFonts w:hAnsi="宋体" w:cs="宋体"/>
          <w:sz w:val="21"/>
          <w:szCs w:val="21"/>
        </w:rPr>
        <w:t>50HZ</w:t>
      </w:r>
    </w:p>
    <w:p>
      <w:pPr>
        <w:pStyle w:val="27"/>
        <w:spacing w:line="360" w:lineRule="auto"/>
        <w:ind w:firstLine="315" w:firstLineChars="150"/>
        <w:rPr>
          <w:rFonts w:hAnsi="宋体" w:cs="宋体"/>
          <w:sz w:val="21"/>
          <w:szCs w:val="21"/>
        </w:rPr>
      </w:pPr>
      <w:r>
        <w:rPr>
          <w:rFonts w:hAnsi="宋体" w:cs="宋体"/>
          <w:sz w:val="21"/>
          <w:szCs w:val="21"/>
        </w:rPr>
        <w:t>5</w:t>
      </w:r>
      <w:r>
        <w:rPr>
          <w:rFonts w:hint="eastAsia" w:hAnsi="宋体" w:cs="宋体"/>
          <w:sz w:val="21"/>
          <w:szCs w:val="21"/>
        </w:rPr>
        <w:t>、励磁方式：无刷，自励磁</w:t>
      </w:r>
    </w:p>
    <w:p>
      <w:pPr>
        <w:pStyle w:val="27"/>
        <w:spacing w:line="360" w:lineRule="auto"/>
        <w:ind w:firstLine="315" w:firstLineChars="150"/>
        <w:rPr>
          <w:rFonts w:hAnsi="宋体" w:cs="宋体"/>
          <w:sz w:val="21"/>
          <w:szCs w:val="21"/>
        </w:rPr>
      </w:pPr>
      <w:r>
        <w:rPr>
          <w:rFonts w:hAnsi="宋体" w:cs="宋体"/>
          <w:sz w:val="21"/>
          <w:szCs w:val="21"/>
        </w:rPr>
        <w:t>6</w:t>
      </w:r>
      <w:r>
        <w:rPr>
          <w:rFonts w:hint="eastAsia" w:hAnsi="宋体" w:cs="宋体"/>
          <w:sz w:val="21"/>
          <w:szCs w:val="21"/>
        </w:rPr>
        <w:t>、电制：三相四线制交流输出</w:t>
      </w:r>
    </w:p>
    <w:p>
      <w:pPr>
        <w:pStyle w:val="27"/>
        <w:spacing w:line="360" w:lineRule="auto"/>
        <w:ind w:firstLine="315" w:firstLineChars="150"/>
        <w:rPr>
          <w:rFonts w:hAnsi="宋体" w:cs="宋体"/>
          <w:sz w:val="21"/>
          <w:szCs w:val="21"/>
        </w:rPr>
      </w:pPr>
      <w:r>
        <w:rPr>
          <w:rFonts w:hAnsi="宋体" w:cs="宋体"/>
          <w:sz w:val="21"/>
          <w:szCs w:val="21"/>
        </w:rPr>
        <w:t>7</w:t>
      </w:r>
      <w:r>
        <w:rPr>
          <w:rFonts w:hint="eastAsia" w:hAnsi="宋体" w:cs="宋体"/>
          <w:sz w:val="21"/>
          <w:szCs w:val="21"/>
        </w:rPr>
        <w:t>、功率因数：</w:t>
      </w:r>
      <w:r>
        <w:rPr>
          <w:rFonts w:hAnsi="宋体" w:cs="宋体"/>
          <w:sz w:val="21"/>
          <w:szCs w:val="21"/>
        </w:rPr>
        <w:t>0.8 (</w:t>
      </w:r>
      <w:r>
        <w:rPr>
          <w:rFonts w:hint="eastAsia" w:hAnsi="宋体" w:cs="宋体"/>
          <w:sz w:val="21"/>
          <w:szCs w:val="21"/>
        </w:rPr>
        <w:t>滞后</w:t>
      </w:r>
      <w:r>
        <w:rPr>
          <w:rFonts w:hAnsi="宋体" w:cs="宋体"/>
          <w:sz w:val="21"/>
          <w:szCs w:val="21"/>
        </w:rPr>
        <w:t>)</w:t>
      </w:r>
    </w:p>
    <w:p>
      <w:pPr>
        <w:pStyle w:val="27"/>
        <w:spacing w:line="360" w:lineRule="auto"/>
        <w:ind w:firstLine="315" w:firstLineChars="150"/>
        <w:rPr>
          <w:rFonts w:hAnsi="宋体" w:cs="宋体"/>
          <w:sz w:val="21"/>
          <w:szCs w:val="21"/>
        </w:rPr>
      </w:pPr>
      <w:r>
        <w:rPr>
          <w:rFonts w:hAnsi="宋体" w:cs="宋体"/>
          <w:sz w:val="21"/>
          <w:szCs w:val="21"/>
        </w:rPr>
        <w:t>8</w:t>
      </w:r>
      <w:r>
        <w:rPr>
          <w:rFonts w:hint="eastAsia" w:hAnsi="宋体" w:cs="宋体"/>
          <w:sz w:val="21"/>
          <w:szCs w:val="21"/>
        </w:rPr>
        <w:t>、电压调整率：稳态≤±</w:t>
      </w:r>
      <w:r>
        <w:rPr>
          <w:rFonts w:hAnsi="宋体" w:cs="宋体"/>
          <w:sz w:val="21"/>
          <w:szCs w:val="21"/>
        </w:rPr>
        <w:t>0.5%,</w:t>
      </w:r>
      <w:r>
        <w:rPr>
          <w:rFonts w:hint="eastAsia" w:hAnsi="宋体" w:cs="宋体"/>
          <w:sz w:val="21"/>
          <w:szCs w:val="21"/>
        </w:rPr>
        <w:t>瞬态≤±</w:t>
      </w:r>
      <w:r>
        <w:rPr>
          <w:rFonts w:hAnsi="宋体" w:cs="宋体"/>
          <w:sz w:val="21"/>
          <w:szCs w:val="21"/>
        </w:rPr>
        <w:t>15%</w:t>
      </w:r>
    </w:p>
    <w:p>
      <w:pPr>
        <w:pStyle w:val="27"/>
        <w:spacing w:line="360" w:lineRule="auto"/>
        <w:ind w:firstLine="315" w:firstLineChars="150"/>
        <w:rPr>
          <w:rFonts w:hAnsi="宋体" w:cs="宋体"/>
          <w:sz w:val="21"/>
          <w:szCs w:val="21"/>
        </w:rPr>
      </w:pPr>
      <w:r>
        <w:rPr>
          <w:rFonts w:hAnsi="宋体" w:cs="宋体"/>
          <w:sz w:val="21"/>
          <w:szCs w:val="21"/>
        </w:rPr>
        <w:t>9</w:t>
      </w:r>
      <w:r>
        <w:rPr>
          <w:rFonts w:hint="eastAsia" w:hAnsi="宋体" w:cs="宋体"/>
          <w:sz w:val="21"/>
          <w:szCs w:val="21"/>
        </w:rPr>
        <w:t>、电压稳定时间≤</w:t>
      </w:r>
      <w:r>
        <w:rPr>
          <w:rFonts w:hAnsi="宋体" w:cs="宋体"/>
          <w:sz w:val="21"/>
          <w:szCs w:val="21"/>
        </w:rPr>
        <w:t>1</w:t>
      </w:r>
      <w:r>
        <w:rPr>
          <w:rFonts w:hint="eastAsia" w:hAnsi="宋体" w:cs="宋体"/>
          <w:sz w:val="21"/>
          <w:szCs w:val="21"/>
        </w:rPr>
        <w:t>秒</w:t>
      </w:r>
    </w:p>
    <w:p>
      <w:pPr>
        <w:pStyle w:val="27"/>
        <w:spacing w:line="360" w:lineRule="auto"/>
        <w:ind w:firstLine="315" w:firstLineChars="150"/>
        <w:rPr>
          <w:rFonts w:hAnsi="宋体" w:cs="宋体"/>
          <w:sz w:val="21"/>
          <w:szCs w:val="21"/>
        </w:rPr>
      </w:pPr>
      <w:r>
        <w:rPr>
          <w:rFonts w:hAnsi="宋体" w:cs="宋体"/>
          <w:sz w:val="21"/>
          <w:szCs w:val="21"/>
        </w:rPr>
        <w:t>10</w:t>
      </w:r>
      <w:r>
        <w:rPr>
          <w:rFonts w:hint="eastAsia" w:hAnsi="宋体" w:cs="宋体"/>
          <w:sz w:val="21"/>
          <w:szCs w:val="21"/>
        </w:rPr>
        <w:t>、电压波动率±</w:t>
      </w:r>
      <w:r>
        <w:rPr>
          <w:rFonts w:hAnsi="宋体" w:cs="宋体"/>
          <w:sz w:val="21"/>
          <w:szCs w:val="21"/>
        </w:rPr>
        <w:t>1.5%</w:t>
      </w:r>
    </w:p>
    <w:p>
      <w:pPr>
        <w:pStyle w:val="27"/>
        <w:spacing w:line="360" w:lineRule="auto"/>
        <w:ind w:firstLine="315" w:firstLineChars="150"/>
        <w:rPr>
          <w:rFonts w:hAnsi="宋体" w:cs="宋体"/>
          <w:sz w:val="21"/>
          <w:szCs w:val="21"/>
        </w:rPr>
      </w:pPr>
      <w:r>
        <w:rPr>
          <w:rFonts w:hAnsi="宋体" w:cs="宋体"/>
          <w:sz w:val="21"/>
          <w:szCs w:val="21"/>
        </w:rPr>
        <w:t>11</w:t>
      </w:r>
      <w:r>
        <w:rPr>
          <w:rFonts w:hint="eastAsia" w:hAnsi="宋体" w:cs="宋体"/>
          <w:sz w:val="21"/>
          <w:szCs w:val="21"/>
        </w:rPr>
        <w:t>、频率调整率：稳态≤±</w:t>
      </w:r>
      <w:r>
        <w:rPr>
          <w:rFonts w:hAnsi="宋体" w:cs="宋体"/>
          <w:sz w:val="21"/>
          <w:szCs w:val="21"/>
        </w:rPr>
        <w:t>0-2%</w:t>
      </w:r>
      <w:r>
        <w:rPr>
          <w:rFonts w:hint="eastAsia" w:hAnsi="宋体" w:cs="宋体"/>
          <w:sz w:val="21"/>
          <w:szCs w:val="21"/>
        </w:rPr>
        <w:t>（可调）瞬态≤±</w:t>
      </w:r>
      <w:r>
        <w:rPr>
          <w:rFonts w:hAnsi="宋体" w:cs="宋体"/>
          <w:sz w:val="21"/>
          <w:szCs w:val="21"/>
        </w:rPr>
        <w:t>3%</w:t>
      </w:r>
    </w:p>
    <w:p>
      <w:pPr>
        <w:pStyle w:val="27"/>
        <w:spacing w:line="360" w:lineRule="auto"/>
        <w:ind w:firstLine="315" w:firstLineChars="150"/>
        <w:rPr>
          <w:rFonts w:hAnsi="宋体" w:cs="宋体"/>
          <w:sz w:val="21"/>
          <w:szCs w:val="21"/>
        </w:rPr>
      </w:pPr>
      <w:r>
        <w:rPr>
          <w:rFonts w:hAnsi="宋体" w:cs="宋体"/>
          <w:sz w:val="21"/>
          <w:szCs w:val="21"/>
        </w:rPr>
        <w:t>12</w:t>
      </w:r>
      <w:r>
        <w:rPr>
          <w:rFonts w:hint="eastAsia" w:hAnsi="宋体" w:cs="宋体"/>
          <w:sz w:val="21"/>
          <w:szCs w:val="21"/>
        </w:rPr>
        <w:t>、频率稳定时间≤</w:t>
      </w:r>
      <w:r>
        <w:rPr>
          <w:rFonts w:hAnsi="宋体" w:cs="宋体"/>
          <w:sz w:val="21"/>
          <w:szCs w:val="21"/>
        </w:rPr>
        <w:t>3</w:t>
      </w:r>
      <w:r>
        <w:rPr>
          <w:rFonts w:hint="eastAsia" w:hAnsi="宋体" w:cs="宋体"/>
          <w:sz w:val="21"/>
          <w:szCs w:val="21"/>
        </w:rPr>
        <w:t>秒</w:t>
      </w:r>
    </w:p>
    <w:p>
      <w:pPr>
        <w:pStyle w:val="27"/>
        <w:spacing w:line="360" w:lineRule="auto"/>
        <w:ind w:firstLine="315" w:firstLineChars="150"/>
        <w:rPr>
          <w:rFonts w:hAnsi="宋体" w:cs="宋体"/>
          <w:sz w:val="21"/>
          <w:szCs w:val="21"/>
        </w:rPr>
      </w:pPr>
      <w:r>
        <w:rPr>
          <w:rFonts w:hAnsi="宋体" w:cs="宋体"/>
          <w:sz w:val="21"/>
          <w:szCs w:val="21"/>
        </w:rPr>
        <w:t>13</w:t>
      </w:r>
      <w:r>
        <w:rPr>
          <w:rFonts w:hint="eastAsia" w:hAnsi="宋体" w:cs="宋体"/>
          <w:sz w:val="21"/>
          <w:szCs w:val="21"/>
        </w:rPr>
        <w:t>、频率波动率±</w:t>
      </w:r>
      <w:r>
        <w:rPr>
          <w:rFonts w:hAnsi="宋体" w:cs="宋体"/>
          <w:sz w:val="21"/>
          <w:szCs w:val="21"/>
        </w:rPr>
        <w:t>0.5%</w:t>
      </w:r>
    </w:p>
    <w:p>
      <w:pPr>
        <w:pStyle w:val="27"/>
        <w:spacing w:line="360" w:lineRule="auto"/>
        <w:ind w:firstLine="315" w:firstLineChars="150"/>
        <w:rPr>
          <w:rFonts w:hAnsi="宋体" w:cs="宋体"/>
          <w:sz w:val="21"/>
          <w:szCs w:val="21"/>
        </w:rPr>
      </w:pPr>
      <w:r>
        <w:rPr>
          <w:rFonts w:hAnsi="宋体" w:cs="宋体"/>
          <w:sz w:val="21"/>
          <w:szCs w:val="21"/>
        </w:rPr>
        <w:t>14</w:t>
      </w:r>
      <w:r>
        <w:rPr>
          <w:rFonts w:hint="eastAsia" w:hAnsi="宋体" w:cs="宋体"/>
          <w:sz w:val="21"/>
          <w:szCs w:val="21"/>
        </w:rPr>
        <w:t>、波形失真率≤</w:t>
      </w:r>
      <w:r>
        <w:rPr>
          <w:rFonts w:hAnsi="宋体" w:cs="宋体"/>
          <w:sz w:val="21"/>
          <w:szCs w:val="21"/>
        </w:rPr>
        <w:t>1.5%</w:t>
      </w:r>
    </w:p>
    <w:p>
      <w:pPr>
        <w:pStyle w:val="27"/>
        <w:spacing w:line="360" w:lineRule="auto"/>
        <w:ind w:firstLine="315" w:firstLineChars="150"/>
        <w:rPr>
          <w:rFonts w:hAnsi="宋体" w:cs="宋体"/>
          <w:sz w:val="21"/>
          <w:szCs w:val="21"/>
        </w:rPr>
      </w:pPr>
      <w:r>
        <w:rPr>
          <w:rFonts w:hAnsi="宋体" w:cs="宋体"/>
          <w:sz w:val="21"/>
          <w:szCs w:val="21"/>
        </w:rPr>
        <w:t>15</w:t>
      </w:r>
      <w:r>
        <w:rPr>
          <w:rFonts w:hint="eastAsia" w:hAnsi="宋体" w:cs="宋体"/>
          <w:sz w:val="21"/>
          <w:szCs w:val="21"/>
        </w:rPr>
        <w:t>、电压调节方式：</w:t>
      </w:r>
      <w:r>
        <w:rPr>
          <w:rFonts w:hAnsi="宋体" w:cs="宋体"/>
          <w:sz w:val="21"/>
          <w:szCs w:val="21"/>
        </w:rPr>
        <w:t>AVR</w:t>
      </w:r>
      <w:r>
        <w:rPr>
          <w:rFonts w:hint="eastAsia" w:hAnsi="宋体" w:cs="宋体"/>
          <w:sz w:val="21"/>
          <w:szCs w:val="21"/>
        </w:rPr>
        <w:t>电子调压</w:t>
      </w:r>
    </w:p>
    <w:p>
      <w:pPr>
        <w:pStyle w:val="27"/>
        <w:spacing w:line="360" w:lineRule="auto"/>
        <w:ind w:firstLine="315" w:firstLineChars="150"/>
        <w:rPr>
          <w:rFonts w:hAnsi="宋体" w:cs="宋体"/>
          <w:sz w:val="21"/>
          <w:szCs w:val="21"/>
        </w:rPr>
      </w:pPr>
      <w:r>
        <w:rPr>
          <w:rFonts w:hAnsi="宋体" w:cs="宋体"/>
          <w:sz w:val="21"/>
          <w:szCs w:val="21"/>
        </w:rPr>
        <w:t>16</w:t>
      </w:r>
      <w:r>
        <w:rPr>
          <w:rFonts w:hint="eastAsia" w:hAnsi="宋体" w:cs="宋体"/>
          <w:sz w:val="21"/>
          <w:szCs w:val="21"/>
        </w:rPr>
        <w:t>、绝缘等级</w:t>
      </w:r>
      <w:r>
        <w:rPr>
          <w:rFonts w:hAnsi="宋体" w:cs="宋体"/>
          <w:sz w:val="21"/>
          <w:szCs w:val="21"/>
        </w:rPr>
        <w:t>/</w:t>
      </w:r>
      <w:r>
        <w:rPr>
          <w:rFonts w:hint="eastAsia" w:hAnsi="宋体" w:cs="宋体"/>
          <w:sz w:val="21"/>
          <w:szCs w:val="21"/>
        </w:rPr>
        <w:t>防护等级：</w:t>
      </w:r>
      <w:r>
        <w:rPr>
          <w:rFonts w:hAnsi="宋体" w:cs="宋体"/>
          <w:sz w:val="21"/>
          <w:szCs w:val="21"/>
        </w:rPr>
        <w:t>H</w:t>
      </w:r>
      <w:r>
        <w:rPr>
          <w:rFonts w:hint="eastAsia" w:hAnsi="宋体" w:cs="宋体"/>
          <w:sz w:val="21"/>
          <w:szCs w:val="21"/>
        </w:rPr>
        <w:t>级</w:t>
      </w:r>
      <w:r>
        <w:rPr>
          <w:rFonts w:hAnsi="宋体" w:cs="宋体"/>
          <w:sz w:val="21"/>
          <w:szCs w:val="21"/>
        </w:rPr>
        <w:t>/IP22</w:t>
      </w:r>
    </w:p>
    <w:p>
      <w:pPr>
        <w:pStyle w:val="27"/>
        <w:spacing w:line="360" w:lineRule="auto"/>
        <w:ind w:firstLine="315" w:firstLineChars="150"/>
        <w:rPr>
          <w:rFonts w:hAnsi="宋体" w:cs="宋体"/>
          <w:sz w:val="21"/>
          <w:szCs w:val="21"/>
        </w:rPr>
      </w:pPr>
      <w:r>
        <w:rPr>
          <w:rFonts w:hAnsi="宋体" w:cs="宋体"/>
          <w:sz w:val="21"/>
          <w:szCs w:val="21"/>
        </w:rPr>
        <w:t>17</w:t>
      </w:r>
      <w:r>
        <w:rPr>
          <w:rFonts w:hint="eastAsia" w:hAnsi="宋体" w:cs="宋体"/>
          <w:sz w:val="21"/>
          <w:szCs w:val="21"/>
        </w:rPr>
        <w:t>、抑制无线电干扰优于</w:t>
      </w:r>
      <w:r>
        <w:rPr>
          <w:rFonts w:hAnsi="宋体" w:cs="宋体"/>
          <w:sz w:val="21"/>
          <w:szCs w:val="21"/>
        </w:rPr>
        <w:t>N</w:t>
      </w:r>
      <w:r>
        <w:rPr>
          <w:rFonts w:hint="eastAsia" w:hAnsi="宋体" w:cs="宋体"/>
          <w:sz w:val="21"/>
          <w:szCs w:val="21"/>
        </w:rPr>
        <w:t>级</w:t>
      </w:r>
    </w:p>
    <w:p>
      <w:pPr>
        <w:pStyle w:val="27"/>
        <w:spacing w:line="360" w:lineRule="auto"/>
        <w:ind w:firstLine="315" w:firstLineChars="150"/>
        <w:rPr>
          <w:rFonts w:hAnsi="宋体" w:cs="宋体"/>
          <w:sz w:val="21"/>
          <w:szCs w:val="21"/>
        </w:rPr>
      </w:pPr>
      <w:r>
        <w:rPr>
          <w:rFonts w:hAnsi="宋体" w:cs="宋体"/>
          <w:sz w:val="21"/>
          <w:szCs w:val="21"/>
        </w:rPr>
        <w:t>18</w:t>
      </w:r>
      <w:r>
        <w:rPr>
          <w:rFonts w:hint="eastAsia" w:hAnsi="宋体" w:cs="宋体"/>
          <w:sz w:val="21"/>
          <w:szCs w:val="21"/>
        </w:rPr>
        <w:t>、柴油机四冲程、水冷电喷、涡轮增压</w:t>
      </w:r>
    </w:p>
    <w:p>
      <w:pPr>
        <w:pStyle w:val="27"/>
        <w:spacing w:line="360" w:lineRule="auto"/>
        <w:ind w:firstLine="315" w:firstLineChars="150"/>
        <w:rPr>
          <w:rFonts w:hAnsi="宋体" w:cs="宋体"/>
          <w:sz w:val="21"/>
          <w:szCs w:val="21"/>
        </w:rPr>
      </w:pPr>
      <w:r>
        <w:rPr>
          <w:rFonts w:hAnsi="宋体" w:cs="宋体"/>
          <w:sz w:val="21"/>
          <w:szCs w:val="21"/>
        </w:rPr>
        <w:t>19</w:t>
      </w:r>
      <w:r>
        <w:rPr>
          <w:rFonts w:hint="eastAsia" w:hAnsi="宋体" w:cs="宋体"/>
          <w:sz w:val="21"/>
          <w:szCs w:val="21"/>
        </w:rPr>
        <w:t>、柴油牌号</w:t>
      </w:r>
      <w:r>
        <w:rPr>
          <w:rFonts w:hAnsi="宋体" w:cs="宋体"/>
          <w:sz w:val="21"/>
          <w:szCs w:val="21"/>
        </w:rPr>
        <w:t>:0</w:t>
      </w:r>
      <w:r>
        <w:rPr>
          <w:rFonts w:hint="eastAsia" w:hAnsi="宋体" w:cs="宋体"/>
          <w:sz w:val="21"/>
          <w:szCs w:val="21"/>
        </w:rPr>
        <w:t>号</w:t>
      </w:r>
    </w:p>
    <w:p>
      <w:pPr>
        <w:pStyle w:val="27"/>
        <w:spacing w:line="360" w:lineRule="auto"/>
        <w:ind w:firstLine="315" w:firstLineChars="150"/>
        <w:rPr>
          <w:rFonts w:hAnsi="宋体" w:cs="宋体"/>
          <w:sz w:val="21"/>
          <w:szCs w:val="21"/>
        </w:rPr>
      </w:pPr>
      <w:r>
        <w:rPr>
          <w:rFonts w:hAnsi="宋体" w:cs="宋体"/>
          <w:sz w:val="21"/>
          <w:szCs w:val="21"/>
        </w:rPr>
        <w:t>20</w:t>
      </w:r>
      <w:r>
        <w:rPr>
          <w:rFonts w:hint="eastAsia" w:hAnsi="宋体" w:cs="宋体"/>
          <w:sz w:val="21"/>
          <w:szCs w:val="21"/>
        </w:rPr>
        <w:t>、额定转速：</w:t>
      </w:r>
      <w:r>
        <w:rPr>
          <w:rFonts w:hAnsi="宋体" w:cs="宋体"/>
          <w:sz w:val="21"/>
          <w:szCs w:val="21"/>
        </w:rPr>
        <w:t>1500r/min</w:t>
      </w:r>
    </w:p>
    <w:p>
      <w:pPr>
        <w:pStyle w:val="27"/>
        <w:spacing w:line="360" w:lineRule="auto"/>
        <w:ind w:firstLine="315" w:firstLineChars="150"/>
        <w:rPr>
          <w:rFonts w:hAnsi="宋体" w:cs="宋体"/>
          <w:sz w:val="21"/>
          <w:szCs w:val="21"/>
        </w:rPr>
      </w:pPr>
      <w:r>
        <w:rPr>
          <w:rFonts w:hAnsi="宋体" w:cs="宋体"/>
          <w:sz w:val="21"/>
          <w:szCs w:val="21"/>
        </w:rPr>
        <w:t>21</w:t>
      </w:r>
      <w:r>
        <w:rPr>
          <w:rFonts w:hint="eastAsia" w:hAnsi="宋体" w:cs="宋体"/>
          <w:sz w:val="21"/>
          <w:szCs w:val="21"/>
        </w:rPr>
        <w:t>、调速方式：电子调速</w:t>
      </w:r>
    </w:p>
    <w:p>
      <w:pPr>
        <w:pStyle w:val="27"/>
        <w:spacing w:line="360" w:lineRule="auto"/>
        <w:ind w:firstLine="315" w:firstLineChars="150"/>
        <w:rPr>
          <w:rFonts w:hAnsi="宋体" w:cs="宋体"/>
          <w:sz w:val="21"/>
          <w:szCs w:val="21"/>
        </w:rPr>
      </w:pPr>
      <w:r>
        <w:rPr>
          <w:rFonts w:hAnsi="宋体" w:cs="宋体"/>
          <w:sz w:val="21"/>
          <w:szCs w:val="21"/>
        </w:rPr>
        <w:t>22</w:t>
      </w:r>
      <w:r>
        <w:rPr>
          <w:rFonts w:hint="eastAsia" w:hAnsi="宋体" w:cs="宋体"/>
          <w:sz w:val="21"/>
          <w:szCs w:val="21"/>
        </w:rPr>
        <w:t>、柴油消耗量：</w:t>
      </w:r>
      <w:r>
        <w:rPr>
          <w:rFonts w:hAnsi="宋体" w:cs="宋体"/>
          <w:sz w:val="21"/>
          <w:szCs w:val="21"/>
        </w:rPr>
        <w:t>100%</w:t>
      </w:r>
      <w:r>
        <w:rPr>
          <w:rFonts w:hint="eastAsia" w:hAnsi="宋体" w:cs="宋体"/>
          <w:sz w:val="21"/>
          <w:szCs w:val="21"/>
        </w:rPr>
        <w:t>负载≤</w:t>
      </w:r>
      <w:r>
        <w:rPr>
          <w:rFonts w:hAnsi="宋体" w:cs="宋体"/>
          <w:sz w:val="21"/>
          <w:szCs w:val="21"/>
        </w:rPr>
        <w:t>198L</w:t>
      </w:r>
    </w:p>
    <w:p>
      <w:pPr>
        <w:pStyle w:val="27"/>
        <w:spacing w:line="360" w:lineRule="auto"/>
        <w:ind w:firstLine="315" w:firstLineChars="150"/>
        <w:rPr>
          <w:rFonts w:hAnsi="宋体" w:cs="宋体"/>
          <w:sz w:val="21"/>
          <w:szCs w:val="21"/>
        </w:rPr>
      </w:pPr>
      <w:r>
        <w:rPr>
          <w:rFonts w:hAnsi="宋体" w:cs="宋体"/>
          <w:sz w:val="21"/>
          <w:szCs w:val="21"/>
        </w:rPr>
        <w:t>23</w:t>
      </w:r>
      <w:r>
        <w:rPr>
          <w:rFonts w:hint="eastAsia" w:hAnsi="宋体" w:cs="宋体"/>
          <w:sz w:val="21"/>
          <w:szCs w:val="21"/>
        </w:rPr>
        <w:t>、负荷突变电压稳定时间（</w:t>
      </w:r>
      <w:r>
        <w:rPr>
          <w:rFonts w:hAnsi="宋体" w:cs="宋体"/>
          <w:sz w:val="21"/>
          <w:szCs w:val="21"/>
        </w:rPr>
        <w:t>S</w:t>
      </w:r>
      <w:r>
        <w:rPr>
          <w:rFonts w:hint="eastAsia" w:hAnsi="宋体" w:cs="宋体"/>
          <w:sz w:val="21"/>
          <w:szCs w:val="21"/>
        </w:rPr>
        <w:t>）≤</w:t>
      </w:r>
      <w:r>
        <w:rPr>
          <w:rFonts w:hAnsi="宋体" w:cs="宋体"/>
          <w:sz w:val="21"/>
          <w:szCs w:val="21"/>
        </w:rPr>
        <w:t>3</w:t>
      </w:r>
    </w:p>
    <w:p>
      <w:pPr>
        <w:pStyle w:val="27"/>
        <w:spacing w:line="360" w:lineRule="auto"/>
        <w:ind w:firstLine="315" w:firstLineChars="150"/>
        <w:rPr>
          <w:rFonts w:hAnsi="宋体" w:cs="宋体"/>
          <w:sz w:val="21"/>
          <w:szCs w:val="21"/>
        </w:rPr>
      </w:pPr>
      <w:r>
        <w:rPr>
          <w:rFonts w:hAnsi="宋体" w:cs="宋体"/>
          <w:sz w:val="21"/>
          <w:szCs w:val="21"/>
        </w:rPr>
        <w:t>24</w:t>
      </w:r>
      <w:r>
        <w:rPr>
          <w:rFonts w:hint="eastAsia" w:hAnsi="宋体" w:cs="宋体"/>
          <w:sz w:val="21"/>
          <w:szCs w:val="21"/>
        </w:rPr>
        <w:t>、负荷突变频率稳定时间（</w:t>
      </w:r>
      <w:r>
        <w:rPr>
          <w:rFonts w:hAnsi="宋体" w:cs="宋体"/>
          <w:sz w:val="21"/>
          <w:szCs w:val="21"/>
        </w:rPr>
        <w:t>S</w:t>
      </w:r>
      <w:r>
        <w:rPr>
          <w:rFonts w:hint="eastAsia" w:hAnsi="宋体" w:cs="宋体"/>
          <w:sz w:val="21"/>
          <w:szCs w:val="21"/>
        </w:rPr>
        <w:t>）≤</w:t>
      </w:r>
      <w:r>
        <w:rPr>
          <w:rFonts w:hAnsi="宋体" w:cs="宋体"/>
          <w:sz w:val="21"/>
          <w:szCs w:val="21"/>
        </w:rPr>
        <w:t>2</w:t>
      </w:r>
    </w:p>
    <w:p>
      <w:pPr>
        <w:pStyle w:val="27"/>
        <w:spacing w:line="360" w:lineRule="auto"/>
        <w:ind w:firstLine="315" w:firstLineChars="150"/>
        <w:rPr>
          <w:rFonts w:hAnsi="宋体" w:cs="宋体"/>
          <w:sz w:val="21"/>
          <w:szCs w:val="21"/>
        </w:rPr>
      </w:pPr>
      <w:r>
        <w:rPr>
          <w:rFonts w:hAnsi="宋体" w:cs="宋体"/>
          <w:sz w:val="21"/>
          <w:szCs w:val="21"/>
        </w:rPr>
        <w:t>25</w:t>
      </w:r>
      <w:r>
        <w:rPr>
          <w:rFonts w:hint="eastAsia" w:hAnsi="宋体" w:cs="宋体"/>
          <w:sz w:val="21"/>
          <w:szCs w:val="21"/>
        </w:rPr>
        <w:t>、启动方式</w:t>
      </w:r>
      <w:r>
        <w:rPr>
          <w:rFonts w:hint="eastAsia" w:hAnsi="宋体" w:cs="宋体"/>
          <w:sz w:val="21"/>
          <w:szCs w:val="21"/>
          <w:lang w:eastAsia="zh-CN"/>
        </w:rPr>
        <w:t>可选用</w:t>
      </w:r>
      <w:r>
        <w:rPr>
          <w:rFonts w:hint="eastAsia" w:hAnsi="宋体" w:cs="宋体"/>
          <w:sz w:val="21"/>
          <w:szCs w:val="21"/>
        </w:rPr>
        <w:t>：</w:t>
      </w:r>
      <w:r>
        <w:rPr>
          <w:rFonts w:hAnsi="宋体" w:cs="宋体"/>
          <w:sz w:val="21"/>
          <w:szCs w:val="21"/>
        </w:rPr>
        <w:t>24V</w:t>
      </w:r>
      <w:r>
        <w:rPr>
          <w:rFonts w:hint="eastAsia" w:hAnsi="宋体" w:cs="宋体"/>
          <w:sz w:val="21"/>
          <w:szCs w:val="21"/>
        </w:rPr>
        <w:t>电启动</w:t>
      </w:r>
      <w:r>
        <w:rPr>
          <w:rFonts w:hint="eastAsia" w:hAnsi="宋体" w:cs="宋体"/>
          <w:sz w:val="21"/>
          <w:szCs w:val="21"/>
          <w:lang w:eastAsia="zh-CN"/>
        </w:rPr>
        <w:t>或</w:t>
      </w:r>
      <w:r>
        <w:rPr>
          <w:rFonts w:hAnsi="宋体" w:cs="宋体"/>
          <w:sz w:val="21"/>
          <w:szCs w:val="21"/>
        </w:rPr>
        <w:t>2</w:t>
      </w:r>
      <w:r>
        <w:rPr>
          <w:rFonts w:hint="eastAsia" w:hAnsi="宋体" w:cs="宋体"/>
          <w:sz w:val="21"/>
          <w:szCs w:val="21"/>
        </w:rPr>
        <w:t>×</w:t>
      </w:r>
      <w:r>
        <w:rPr>
          <w:rFonts w:hAnsi="宋体" w:cs="宋体"/>
          <w:sz w:val="21"/>
          <w:szCs w:val="21"/>
        </w:rPr>
        <w:t>100AH</w:t>
      </w:r>
      <w:r>
        <w:rPr>
          <w:rFonts w:hint="eastAsia" w:hAnsi="宋体" w:cs="宋体"/>
          <w:sz w:val="21"/>
          <w:szCs w:val="21"/>
          <w:lang w:eastAsia="zh-CN"/>
        </w:rPr>
        <w:t>或</w:t>
      </w:r>
      <w:r>
        <w:rPr>
          <w:rFonts w:hAnsi="宋体" w:cs="宋体"/>
          <w:sz w:val="21"/>
          <w:szCs w:val="21"/>
        </w:rPr>
        <w:t>12V</w:t>
      </w:r>
      <w:r>
        <w:rPr>
          <w:rFonts w:hint="eastAsia" w:hAnsi="宋体" w:cs="宋体"/>
          <w:sz w:val="21"/>
          <w:szCs w:val="21"/>
          <w:lang w:eastAsia="zh-CN"/>
        </w:rPr>
        <w:t>或</w:t>
      </w:r>
      <w:r>
        <w:rPr>
          <w:rFonts w:hint="eastAsia" w:hAnsi="宋体" w:cs="宋体"/>
          <w:sz w:val="21"/>
          <w:szCs w:val="21"/>
        </w:rPr>
        <w:t>蓄电池要求免维护</w:t>
      </w:r>
      <w:r>
        <w:rPr>
          <w:rFonts w:hint="eastAsia" w:hAnsi="宋体" w:cs="宋体"/>
          <w:sz w:val="21"/>
          <w:szCs w:val="21"/>
          <w:lang w:eastAsia="zh-CN"/>
        </w:rPr>
        <w:t>或</w:t>
      </w:r>
      <w:r>
        <w:rPr>
          <w:rFonts w:hint="eastAsia" w:hAnsi="宋体" w:cs="宋体"/>
          <w:sz w:val="21"/>
          <w:szCs w:val="21"/>
        </w:rPr>
        <w:t>浮充电电流可调节。</w:t>
      </w:r>
    </w:p>
    <w:p>
      <w:pPr>
        <w:pStyle w:val="27"/>
        <w:spacing w:line="360" w:lineRule="auto"/>
        <w:ind w:firstLine="315" w:firstLineChars="150"/>
        <w:rPr>
          <w:rFonts w:hAnsi="宋体" w:cs="宋体"/>
          <w:sz w:val="21"/>
          <w:szCs w:val="21"/>
        </w:rPr>
      </w:pPr>
      <w:r>
        <w:rPr>
          <w:rFonts w:hAnsi="宋体" w:cs="宋体"/>
          <w:sz w:val="21"/>
          <w:szCs w:val="21"/>
        </w:rPr>
        <w:t>26</w:t>
      </w:r>
      <w:r>
        <w:rPr>
          <w:rFonts w:hint="eastAsia" w:hAnsi="宋体" w:cs="宋体"/>
          <w:sz w:val="21"/>
          <w:szCs w:val="21"/>
        </w:rPr>
        <w:t>、单振幅值：≤</w:t>
      </w:r>
      <w:r>
        <w:rPr>
          <w:rFonts w:hAnsi="宋体" w:cs="宋体"/>
          <w:sz w:val="21"/>
          <w:szCs w:val="21"/>
        </w:rPr>
        <w:t>0.3mm</w:t>
      </w:r>
    </w:p>
    <w:p>
      <w:pPr>
        <w:pStyle w:val="27"/>
        <w:spacing w:line="360" w:lineRule="auto"/>
        <w:ind w:firstLine="315" w:firstLineChars="150"/>
        <w:rPr>
          <w:rFonts w:hAnsi="宋体" w:cs="宋体"/>
          <w:sz w:val="21"/>
          <w:szCs w:val="21"/>
        </w:rPr>
      </w:pPr>
      <w:r>
        <w:rPr>
          <w:rFonts w:hAnsi="宋体" w:cs="宋体"/>
          <w:sz w:val="21"/>
          <w:szCs w:val="21"/>
        </w:rPr>
        <w:t>27</w:t>
      </w:r>
      <w:r>
        <w:rPr>
          <w:rFonts w:hint="eastAsia" w:hAnsi="宋体" w:cs="宋体"/>
          <w:sz w:val="21"/>
          <w:szCs w:val="21"/>
        </w:rPr>
        <w:t>、无人值守时间：</w:t>
      </w:r>
      <w:r>
        <w:rPr>
          <w:rFonts w:hAnsi="宋体" w:cs="宋体"/>
          <w:sz w:val="21"/>
          <w:szCs w:val="21"/>
        </w:rPr>
        <w:t>8</w:t>
      </w:r>
      <w:r>
        <w:rPr>
          <w:rFonts w:hint="eastAsia" w:hAnsi="宋体" w:cs="宋体"/>
          <w:sz w:val="21"/>
          <w:szCs w:val="21"/>
        </w:rPr>
        <w:t>小时以上</w:t>
      </w:r>
    </w:p>
    <w:p>
      <w:pPr>
        <w:pStyle w:val="27"/>
        <w:spacing w:line="360" w:lineRule="auto"/>
        <w:ind w:firstLine="315" w:firstLineChars="150"/>
        <w:rPr>
          <w:rFonts w:hAnsi="宋体" w:cs="宋体"/>
          <w:sz w:val="21"/>
          <w:szCs w:val="21"/>
        </w:rPr>
      </w:pPr>
      <w:r>
        <w:rPr>
          <w:rFonts w:hint="eastAsia" w:hAnsi="宋体" w:cs="宋体"/>
          <w:sz w:val="21"/>
          <w:szCs w:val="21"/>
        </w:rPr>
        <w:t>控制系统的要求</w:t>
      </w:r>
    </w:p>
    <w:p>
      <w:pPr>
        <w:pStyle w:val="27"/>
        <w:spacing w:line="360" w:lineRule="auto"/>
        <w:ind w:firstLine="315" w:firstLineChars="150"/>
        <w:rPr>
          <w:rFonts w:hAnsi="宋体" w:cs="宋体"/>
          <w:sz w:val="21"/>
          <w:szCs w:val="21"/>
        </w:rPr>
      </w:pPr>
      <w:r>
        <w:rPr>
          <w:rFonts w:hAnsi="宋体" w:cs="宋体"/>
          <w:sz w:val="21"/>
          <w:szCs w:val="21"/>
        </w:rPr>
        <w:t>1</w:t>
      </w:r>
      <w:r>
        <w:rPr>
          <w:rFonts w:hint="eastAsia" w:hAnsi="宋体" w:cs="宋体"/>
          <w:sz w:val="21"/>
          <w:szCs w:val="21"/>
        </w:rPr>
        <w:t>、参数显示：发电机三相电压、三相电流、发电机功率、功率因数、频率、蓄电池电压、浮充电电流、运行时间计时等。</w:t>
      </w:r>
    </w:p>
    <w:p>
      <w:pPr>
        <w:pStyle w:val="27"/>
        <w:spacing w:line="360" w:lineRule="auto"/>
        <w:ind w:firstLine="315" w:firstLineChars="150"/>
        <w:rPr>
          <w:rFonts w:hAnsi="宋体" w:cs="宋体"/>
          <w:sz w:val="21"/>
          <w:szCs w:val="21"/>
        </w:rPr>
      </w:pPr>
      <w:r>
        <w:rPr>
          <w:rFonts w:hAnsi="宋体" w:cs="宋体"/>
          <w:sz w:val="21"/>
          <w:szCs w:val="21"/>
        </w:rPr>
        <w:t>2</w:t>
      </w:r>
      <w:r>
        <w:rPr>
          <w:rFonts w:hint="eastAsia" w:hAnsi="宋体" w:cs="宋体"/>
          <w:sz w:val="21"/>
          <w:szCs w:val="21"/>
        </w:rPr>
        <w:t>、状态显示：发电机运行</w:t>
      </w:r>
      <w:r>
        <w:rPr>
          <w:rFonts w:hAnsi="宋体" w:cs="宋体"/>
          <w:sz w:val="21"/>
          <w:szCs w:val="21"/>
        </w:rPr>
        <w:t>/</w:t>
      </w:r>
      <w:r>
        <w:rPr>
          <w:rFonts w:hint="eastAsia" w:hAnsi="宋体" w:cs="宋体"/>
          <w:sz w:val="21"/>
          <w:szCs w:val="21"/>
        </w:rPr>
        <w:t>故障、市电</w:t>
      </w:r>
      <w:r>
        <w:rPr>
          <w:rFonts w:hAnsi="宋体" w:cs="宋体"/>
          <w:sz w:val="21"/>
          <w:szCs w:val="21"/>
        </w:rPr>
        <w:t>/</w:t>
      </w:r>
      <w:r>
        <w:rPr>
          <w:rFonts w:hint="eastAsia" w:hAnsi="宋体" w:cs="宋体"/>
          <w:sz w:val="21"/>
          <w:szCs w:val="21"/>
        </w:rPr>
        <w:t>发电机带载。</w:t>
      </w:r>
    </w:p>
    <w:p>
      <w:pPr>
        <w:pStyle w:val="27"/>
        <w:spacing w:line="360" w:lineRule="auto"/>
        <w:ind w:firstLine="315" w:firstLineChars="150"/>
        <w:rPr>
          <w:rFonts w:hAnsi="宋体" w:cs="宋体"/>
          <w:sz w:val="21"/>
          <w:szCs w:val="21"/>
        </w:rPr>
      </w:pPr>
      <w:r>
        <w:rPr>
          <w:rFonts w:hAnsi="宋体" w:cs="宋体"/>
          <w:sz w:val="21"/>
          <w:szCs w:val="21"/>
        </w:rPr>
        <w:t>3</w:t>
      </w:r>
      <w:r>
        <w:rPr>
          <w:rFonts w:hint="eastAsia" w:hAnsi="宋体" w:cs="宋体"/>
          <w:sz w:val="21"/>
          <w:szCs w:val="21"/>
        </w:rPr>
        <w:t>、指示：发电机机组电源指示、供电指示、水温指示、油位指示、各类故障报警指示。</w:t>
      </w:r>
    </w:p>
    <w:p>
      <w:pPr>
        <w:pStyle w:val="27"/>
        <w:spacing w:line="360" w:lineRule="auto"/>
        <w:ind w:firstLine="315" w:firstLineChars="150"/>
        <w:rPr>
          <w:rFonts w:hAnsi="宋体" w:cs="宋体"/>
          <w:sz w:val="21"/>
          <w:szCs w:val="21"/>
        </w:rPr>
      </w:pPr>
      <w:r>
        <w:rPr>
          <w:rFonts w:hAnsi="宋体" w:cs="宋体"/>
          <w:sz w:val="21"/>
          <w:szCs w:val="21"/>
        </w:rPr>
        <w:t>4</w:t>
      </w:r>
      <w:r>
        <w:rPr>
          <w:rFonts w:hint="eastAsia" w:hAnsi="宋体" w:cs="宋体"/>
          <w:sz w:val="21"/>
          <w:szCs w:val="21"/>
        </w:rPr>
        <w:t>、状态选择：自动</w:t>
      </w:r>
      <w:r>
        <w:rPr>
          <w:rFonts w:hAnsi="宋体" w:cs="宋体"/>
          <w:sz w:val="21"/>
          <w:szCs w:val="21"/>
        </w:rPr>
        <w:t>/</w:t>
      </w:r>
      <w:r>
        <w:rPr>
          <w:rFonts w:hint="eastAsia" w:hAnsi="宋体" w:cs="宋体"/>
          <w:sz w:val="21"/>
          <w:szCs w:val="21"/>
        </w:rPr>
        <w:t>手动</w:t>
      </w:r>
      <w:r>
        <w:rPr>
          <w:rFonts w:hAnsi="宋体" w:cs="宋体"/>
          <w:sz w:val="21"/>
          <w:szCs w:val="21"/>
        </w:rPr>
        <w:t>/</w:t>
      </w:r>
      <w:r>
        <w:rPr>
          <w:rFonts w:hint="eastAsia" w:hAnsi="宋体" w:cs="宋体"/>
          <w:sz w:val="21"/>
          <w:szCs w:val="21"/>
        </w:rPr>
        <w:t>试运行。</w:t>
      </w:r>
    </w:p>
    <w:p>
      <w:pPr>
        <w:pStyle w:val="27"/>
        <w:spacing w:line="360" w:lineRule="auto"/>
        <w:ind w:firstLine="315" w:firstLineChars="150"/>
        <w:rPr>
          <w:rFonts w:hAnsi="宋体" w:cs="宋体"/>
          <w:sz w:val="21"/>
          <w:szCs w:val="21"/>
        </w:rPr>
      </w:pPr>
      <w:r>
        <w:rPr>
          <w:rFonts w:hint="eastAsia" w:hAnsi="宋体" w:cs="宋体"/>
          <w:sz w:val="21"/>
          <w:szCs w:val="21"/>
        </w:rPr>
        <w:t>⑴自动控制功能：市电状态自动检测、机组自动启动、自动投网、自动退网、自动停机、故障自动跳闸、停机、报警。在自动状态，通过外开关信号，对市电状态自动长期检测、判别。一旦市电有故障（</w:t>
      </w:r>
      <w:r>
        <w:rPr>
          <w:rFonts w:hAnsi="宋体" w:cs="宋体"/>
          <w:sz w:val="21"/>
          <w:szCs w:val="21"/>
        </w:rPr>
        <w:t>a</w:t>
      </w:r>
      <w:r>
        <w:rPr>
          <w:rFonts w:hint="eastAsia" w:hAnsi="宋体" w:cs="宋体"/>
          <w:sz w:val="21"/>
          <w:szCs w:val="21"/>
        </w:rPr>
        <w:t>、</w:t>
      </w:r>
      <w:r>
        <w:rPr>
          <w:rFonts w:hAnsi="宋体" w:cs="宋体"/>
          <w:sz w:val="21"/>
          <w:szCs w:val="21"/>
        </w:rPr>
        <w:t>b</w:t>
      </w:r>
      <w:r>
        <w:rPr>
          <w:rFonts w:hint="eastAsia" w:hAnsi="宋体" w:cs="宋体"/>
          <w:sz w:val="21"/>
          <w:szCs w:val="21"/>
        </w:rPr>
        <w:t>、</w:t>
      </w:r>
      <w:r>
        <w:rPr>
          <w:rFonts w:hAnsi="宋体" w:cs="宋体"/>
          <w:sz w:val="21"/>
          <w:szCs w:val="21"/>
        </w:rPr>
        <w:t>c</w:t>
      </w:r>
      <w:r>
        <w:rPr>
          <w:rFonts w:hint="eastAsia" w:hAnsi="宋体" w:cs="宋体"/>
          <w:sz w:val="21"/>
          <w:szCs w:val="21"/>
        </w:rPr>
        <w:t>任意一相缺相或故障）、失电、经系统</w:t>
      </w:r>
      <w:r>
        <w:rPr>
          <w:rFonts w:hAnsi="宋体" w:cs="宋体"/>
          <w:sz w:val="21"/>
          <w:szCs w:val="21"/>
        </w:rPr>
        <w:t>3</w:t>
      </w:r>
      <w:r>
        <w:rPr>
          <w:rFonts w:hint="eastAsia" w:hAnsi="宋体" w:cs="宋体"/>
          <w:sz w:val="21"/>
          <w:szCs w:val="21"/>
        </w:rPr>
        <w:t>秒确认（时间可调），自动启动机组（启动三次为一个循环），机组启动运行正常后，发电机带载。自启动投网供电时间≤</w:t>
      </w:r>
      <w:r>
        <w:rPr>
          <w:rFonts w:hAnsi="宋体" w:cs="宋体"/>
          <w:sz w:val="21"/>
          <w:szCs w:val="21"/>
        </w:rPr>
        <w:t>12S</w:t>
      </w:r>
      <w:r>
        <w:rPr>
          <w:rFonts w:hint="eastAsia" w:hAnsi="宋体" w:cs="宋体"/>
          <w:sz w:val="21"/>
          <w:szCs w:val="21"/>
        </w:rPr>
        <w:t>。市电恢复，经系统</w:t>
      </w:r>
      <w:r>
        <w:rPr>
          <w:rFonts w:hAnsi="宋体" w:cs="宋体"/>
          <w:sz w:val="21"/>
          <w:szCs w:val="21"/>
        </w:rPr>
        <w:t>3</w:t>
      </w:r>
      <w:r>
        <w:rPr>
          <w:rFonts w:hint="eastAsia" w:hAnsi="宋体" w:cs="宋体"/>
          <w:sz w:val="21"/>
          <w:szCs w:val="21"/>
        </w:rPr>
        <w:t>秒确认（时间可调），市电带载，机组空载运行</w:t>
      </w:r>
      <w:r>
        <w:rPr>
          <w:rFonts w:hAnsi="宋体" w:cs="宋体"/>
          <w:sz w:val="21"/>
          <w:szCs w:val="21"/>
        </w:rPr>
        <w:t>3</w:t>
      </w:r>
      <w:r>
        <w:rPr>
          <w:rFonts w:hint="eastAsia" w:hAnsi="宋体" w:cs="宋体"/>
          <w:sz w:val="21"/>
          <w:szCs w:val="21"/>
        </w:rPr>
        <w:t>分钟（时间可调）后自动停机，并自动进入下一个自动启动的准备状态。</w:t>
      </w:r>
    </w:p>
    <w:p>
      <w:pPr>
        <w:pStyle w:val="27"/>
        <w:spacing w:line="360" w:lineRule="auto"/>
        <w:ind w:firstLine="315" w:firstLineChars="150"/>
        <w:rPr>
          <w:rFonts w:hAnsi="宋体" w:cs="宋体"/>
          <w:sz w:val="21"/>
          <w:szCs w:val="21"/>
        </w:rPr>
      </w:pPr>
      <w:r>
        <w:rPr>
          <w:rFonts w:hint="eastAsia" w:hAnsi="宋体" w:cs="宋体"/>
          <w:sz w:val="21"/>
          <w:szCs w:val="21"/>
        </w:rPr>
        <w:t>⑵手动：手动启动、手动合闸、分闸、停机</w:t>
      </w:r>
    </w:p>
    <w:p>
      <w:pPr>
        <w:pStyle w:val="27"/>
        <w:spacing w:line="360" w:lineRule="auto"/>
        <w:ind w:firstLine="315" w:firstLineChars="150"/>
        <w:rPr>
          <w:rFonts w:hAnsi="宋体" w:cs="宋体"/>
          <w:sz w:val="21"/>
          <w:szCs w:val="21"/>
        </w:rPr>
      </w:pPr>
      <w:r>
        <w:rPr>
          <w:rFonts w:hint="eastAsia" w:hAnsi="宋体" w:cs="宋体"/>
          <w:sz w:val="21"/>
          <w:szCs w:val="21"/>
        </w:rPr>
        <w:t>⑶试运行：在市电有电状态下，每周一次对机组实行自动化运行，确保机组在良好的备用状态。</w:t>
      </w:r>
    </w:p>
    <w:p>
      <w:pPr>
        <w:pStyle w:val="27"/>
        <w:spacing w:line="360" w:lineRule="auto"/>
        <w:ind w:firstLine="315" w:firstLineChars="150"/>
        <w:rPr>
          <w:rFonts w:hAnsi="宋体" w:cs="宋体"/>
          <w:sz w:val="21"/>
          <w:szCs w:val="21"/>
        </w:rPr>
      </w:pPr>
      <w:r>
        <w:rPr>
          <w:rFonts w:hAnsi="宋体" w:cs="宋体"/>
          <w:sz w:val="21"/>
          <w:szCs w:val="21"/>
        </w:rPr>
        <w:t>5</w:t>
      </w:r>
      <w:r>
        <w:rPr>
          <w:rFonts w:hint="eastAsia" w:hAnsi="宋体" w:cs="宋体"/>
          <w:sz w:val="21"/>
          <w:szCs w:val="21"/>
        </w:rPr>
        <w:t>、自动保护：</w:t>
      </w:r>
    </w:p>
    <w:p>
      <w:pPr>
        <w:pStyle w:val="27"/>
        <w:spacing w:line="360" w:lineRule="auto"/>
        <w:ind w:firstLine="315" w:firstLineChars="150"/>
        <w:rPr>
          <w:rFonts w:hAnsi="宋体" w:cs="宋体"/>
          <w:sz w:val="21"/>
          <w:szCs w:val="21"/>
        </w:rPr>
      </w:pPr>
      <w:r>
        <w:rPr>
          <w:rFonts w:hint="eastAsia" w:hAnsi="宋体" w:cs="宋体"/>
          <w:sz w:val="21"/>
          <w:szCs w:val="21"/>
        </w:rPr>
        <w:t>⑴具有过载、短路、高水温、低油压、欠电压、油高温、超速保护。</w:t>
      </w:r>
    </w:p>
    <w:p>
      <w:pPr>
        <w:pStyle w:val="27"/>
        <w:spacing w:line="360" w:lineRule="auto"/>
        <w:ind w:firstLine="315" w:firstLineChars="150"/>
        <w:rPr>
          <w:rFonts w:hAnsi="宋体" w:cs="宋体"/>
          <w:sz w:val="21"/>
          <w:szCs w:val="21"/>
        </w:rPr>
      </w:pPr>
      <w:r>
        <w:rPr>
          <w:rFonts w:hint="eastAsia" w:hAnsi="宋体" w:cs="宋体"/>
          <w:sz w:val="21"/>
          <w:szCs w:val="21"/>
        </w:rPr>
        <w:t>⑵具有自动跳闸、停机功能。</w:t>
      </w:r>
    </w:p>
    <w:p>
      <w:pPr>
        <w:pStyle w:val="27"/>
        <w:spacing w:line="360" w:lineRule="auto"/>
        <w:ind w:firstLine="315" w:firstLineChars="150"/>
        <w:rPr>
          <w:rFonts w:hAnsi="宋体" w:cs="宋体"/>
          <w:sz w:val="21"/>
          <w:szCs w:val="21"/>
        </w:rPr>
      </w:pPr>
      <w:r>
        <w:rPr>
          <w:rFonts w:hint="eastAsia" w:hAnsi="宋体" w:cs="宋体"/>
          <w:sz w:val="21"/>
          <w:szCs w:val="21"/>
        </w:rPr>
        <w:t>⑶具有过载、高水温、低油压、自启动失败、超速、油高温故障自动声光报警。</w:t>
      </w:r>
    </w:p>
    <w:p>
      <w:pPr>
        <w:pStyle w:val="27"/>
        <w:spacing w:line="360" w:lineRule="auto"/>
        <w:ind w:firstLine="315" w:firstLineChars="150"/>
        <w:rPr>
          <w:rFonts w:hAnsi="宋体" w:cs="宋体"/>
          <w:sz w:val="21"/>
          <w:szCs w:val="21"/>
        </w:rPr>
      </w:pPr>
      <w:r>
        <w:rPr>
          <w:rFonts w:hint="eastAsia" w:hAnsi="宋体" w:cs="宋体"/>
          <w:sz w:val="21"/>
          <w:szCs w:val="21"/>
        </w:rPr>
        <w:t>要求整个系统需采用高可靠性电气产品，自动控制、自动启动、自动停机等自动控制，确保运行的可靠性。</w:t>
      </w:r>
    </w:p>
    <w:p>
      <w:pPr>
        <w:pStyle w:val="27"/>
        <w:spacing w:line="360" w:lineRule="auto"/>
        <w:ind w:firstLine="315" w:firstLineChars="150"/>
        <w:rPr>
          <w:rFonts w:hAnsi="宋体"/>
          <w:sz w:val="21"/>
          <w:szCs w:val="21"/>
          <w:shd w:val="clear" w:color="auto" w:fill="FFFFFF"/>
        </w:rPr>
      </w:pPr>
      <w:r>
        <w:rPr>
          <w:rFonts w:hint="eastAsia" w:hAnsi="宋体" w:cs="宋体"/>
          <w:sz w:val="21"/>
          <w:szCs w:val="21"/>
        </w:rPr>
        <w:t>机房环保治理工程技术要求：</w:t>
      </w:r>
      <w:r>
        <w:rPr>
          <w:rFonts w:hint="eastAsia" w:hAnsi="宋体"/>
          <w:sz w:val="21"/>
          <w:szCs w:val="21"/>
          <w:shd w:val="clear" w:color="auto" w:fill="FFFFFF"/>
        </w:rPr>
        <w:t>本机型柴油发电机组在运行过程中，产生的高分贝噪声≤</w:t>
      </w:r>
      <w:r>
        <w:rPr>
          <w:rFonts w:hAnsi="宋体"/>
          <w:sz w:val="21"/>
          <w:szCs w:val="21"/>
          <w:shd w:val="clear" w:color="auto" w:fill="FFFFFF"/>
        </w:rPr>
        <w:t xml:space="preserve">108dB </w:t>
      </w:r>
      <w:r>
        <w:rPr>
          <w:rFonts w:hint="eastAsia" w:hAnsi="宋体"/>
          <w:sz w:val="21"/>
          <w:szCs w:val="21"/>
          <w:shd w:val="clear" w:color="auto" w:fill="FFFFFF"/>
        </w:rPr>
        <w:t>，排放的黑烟会对周围的环境造成严重污染，根据本工程及环保部门的要求，需对柴油发电机组产生的噪声和废气进行综合环保治理。科学的处理方式，使发电机房达到以下效果：噪音≤</w:t>
      </w:r>
      <w:r>
        <w:rPr>
          <w:rFonts w:hAnsi="宋体"/>
          <w:sz w:val="21"/>
          <w:szCs w:val="21"/>
          <w:shd w:val="clear" w:color="auto" w:fill="FFFFFF"/>
        </w:rPr>
        <w:t>65dB</w:t>
      </w:r>
      <w:r>
        <w:rPr>
          <w:rFonts w:hint="eastAsia" w:hAnsi="宋体"/>
          <w:sz w:val="21"/>
          <w:szCs w:val="21"/>
          <w:shd w:val="clear" w:color="auto" w:fill="FFFFFF"/>
        </w:rPr>
        <w:t>（机房</w:t>
      </w:r>
      <w:r>
        <w:rPr>
          <w:rFonts w:hAnsi="宋体"/>
          <w:sz w:val="21"/>
          <w:szCs w:val="21"/>
          <w:shd w:val="clear" w:color="auto" w:fill="FFFFFF"/>
        </w:rPr>
        <w:t>5</w:t>
      </w:r>
      <w:r>
        <w:rPr>
          <w:rFonts w:hint="eastAsia" w:hAnsi="宋体"/>
          <w:sz w:val="21"/>
          <w:szCs w:val="21"/>
          <w:shd w:val="clear" w:color="auto" w:fill="FFFFFF"/>
        </w:rPr>
        <w:t>米外测试点），排烟浓度≤林格曼</w:t>
      </w:r>
      <w:r>
        <w:rPr>
          <w:rFonts w:hAnsi="宋体"/>
          <w:sz w:val="21"/>
          <w:szCs w:val="21"/>
          <w:shd w:val="clear" w:color="auto" w:fill="FFFFFF"/>
        </w:rPr>
        <w:t>1</w:t>
      </w:r>
      <w:r>
        <w:rPr>
          <w:rFonts w:hint="eastAsia" w:hAnsi="宋体"/>
          <w:sz w:val="21"/>
          <w:szCs w:val="21"/>
          <w:shd w:val="clear" w:color="auto" w:fill="FFFFFF"/>
        </w:rPr>
        <w:t>级，达到相关环保部门验收标准。环保治理工程即是依据设计规范完成机房隔声、吸声、消声、减震、废气处理等环保内容的施工。具体设计施工内容如下：</w:t>
      </w:r>
    </w:p>
    <w:p>
      <w:pPr>
        <w:pStyle w:val="27"/>
        <w:spacing w:line="360" w:lineRule="auto"/>
        <w:ind w:left="1" w:firstLine="315" w:firstLineChars="150"/>
        <w:rPr>
          <w:rFonts w:hAnsi="宋体"/>
          <w:sz w:val="21"/>
          <w:szCs w:val="21"/>
        </w:rPr>
      </w:pPr>
      <w:r>
        <w:rPr>
          <w:rFonts w:hAnsi="宋体"/>
          <w:sz w:val="21"/>
          <w:szCs w:val="21"/>
          <w:shd w:val="clear" w:color="auto" w:fill="FFFFFF"/>
        </w:rPr>
        <w:t>1</w:t>
      </w:r>
      <w:r>
        <w:rPr>
          <w:rFonts w:hint="eastAsia" w:hAnsi="宋体"/>
          <w:sz w:val="21"/>
          <w:szCs w:val="21"/>
          <w:shd w:val="clear" w:color="auto" w:fill="FFFFFF"/>
        </w:rPr>
        <w:t>、机组减震装置：</w:t>
      </w:r>
    </w:p>
    <w:p>
      <w:pPr>
        <w:pStyle w:val="27"/>
        <w:spacing w:line="360" w:lineRule="auto"/>
        <w:ind w:left="1" w:firstLine="315" w:firstLineChars="150"/>
        <w:rPr>
          <w:rFonts w:hAnsi="宋体"/>
          <w:sz w:val="21"/>
          <w:szCs w:val="21"/>
          <w:shd w:val="clear" w:color="auto" w:fill="FFFFFF"/>
        </w:rPr>
      </w:pPr>
      <w:r>
        <w:rPr>
          <w:rFonts w:hint="eastAsia" w:hAnsi="宋体"/>
          <w:sz w:val="21"/>
          <w:szCs w:val="21"/>
          <w:shd w:val="clear" w:color="auto" w:fill="FFFFFF"/>
        </w:rPr>
        <w:t>发电机组放在预制的钢筋混凝土基础上</w:t>
      </w:r>
      <w:r>
        <w:rPr>
          <w:rFonts w:hAnsi="宋体"/>
          <w:sz w:val="21"/>
          <w:szCs w:val="21"/>
          <w:shd w:val="clear" w:color="auto" w:fill="FFFFFF"/>
        </w:rPr>
        <w:t xml:space="preserve">, </w:t>
      </w:r>
      <w:r>
        <w:rPr>
          <w:rFonts w:hint="eastAsia" w:hAnsi="宋体"/>
          <w:sz w:val="21"/>
          <w:szCs w:val="21"/>
          <w:shd w:val="clear" w:color="auto" w:fill="FFFFFF"/>
        </w:rPr>
        <w:t>基础为</w:t>
      </w:r>
      <w:r>
        <w:rPr>
          <w:rFonts w:hAnsi="宋体"/>
          <w:sz w:val="21"/>
          <w:szCs w:val="21"/>
          <w:shd w:val="clear" w:color="auto" w:fill="FFFFFF"/>
        </w:rPr>
        <w:t>200MM</w:t>
      </w:r>
      <w:r>
        <w:rPr>
          <w:rFonts w:hint="eastAsia" w:hAnsi="宋体"/>
          <w:sz w:val="21"/>
          <w:szCs w:val="21"/>
          <w:shd w:val="clear" w:color="auto" w:fill="FFFFFF"/>
        </w:rPr>
        <w:t>厚</w:t>
      </w:r>
      <w:r>
        <w:rPr>
          <w:rFonts w:hAnsi="宋体"/>
          <w:sz w:val="21"/>
          <w:szCs w:val="21"/>
          <w:shd w:val="clear" w:color="auto" w:fill="FFFFFF"/>
        </w:rPr>
        <w:t>,</w:t>
      </w:r>
      <w:r>
        <w:rPr>
          <w:rFonts w:hint="eastAsia" w:hAnsi="宋体"/>
          <w:sz w:val="21"/>
          <w:szCs w:val="21"/>
          <w:shd w:val="clear" w:color="auto" w:fill="FFFFFF"/>
        </w:rPr>
        <w:t>机组与基础之间须做金属减震处理。基础的外形尺寸参照设备尺寸、设计图纸参数；基础表面高出地面</w:t>
      </w:r>
      <w:r>
        <w:rPr>
          <w:rFonts w:hAnsi="宋体"/>
          <w:sz w:val="21"/>
          <w:szCs w:val="21"/>
          <w:shd w:val="clear" w:color="auto" w:fill="FFFFFF"/>
        </w:rPr>
        <w:t>200mm</w:t>
      </w:r>
      <w:r>
        <w:rPr>
          <w:rFonts w:hint="eastAsia" w:hAnsi="宋体"/>
          <w:sz w:val="21"/>
          <w:szCs w:val="21"/>
          <w:shd w:val="clear" w:color="auto" w:fill="FFFFFF"/>
        </w:rPr>
        <w:t>。机组与基础之间加减振弹簧垫，减振垫针对发电机组的运行重量和振动频率选择，保证隔振效率达到</w:t>
      </w:r>
      <w:r>
        <w:rPr>
          <w:rFonts w:hAnsi="宋体"/>
          <w:sz w:val="21"/>
          <w:szCs w:val="21"/>
          <w:shd w:val="clear" w:color="auto" w:fill="FFFFFF"/>
        </w:rPr>
        <w:t>95%</w:t>
      </w:r>
      <w:r>
        <w:rPr>
          <w:rFonts w:hint="eastAsia" w:hAnsi="宋体"/>
          <w:sz w:val="21"/>
          <w:szCs w:val="21"/>
          <w:shd w:val="clear" w:color="auto" w:fill="FFFFFF"/>
        </w:rPr>
        <w:t>以上。</w:t>
      </w:r>
    </w:p>
    <w:p>
      <w:pPr>
        <w:pStyle w:val="27"/>
        <w:spacing w:line="360" w:lineRule="auto"/>
        <w:ind w:firstLine="315" w:firstLineChars="150"/>
        <w:rPr>
          <w:rFonts w:hint="eastAsia" w:hAnsi="宋体"/>
          <w:sz w:val="21"/>
          <w:szCs w:val="21"/>
          <w:shd w:val="clear" w:color="auto" w:fill="FFFFFF"/>
        </w:rPr>
      </w:pPr>
      <w:r>
        <w:rPr>
          <w:rFonts w:hAnsi="宋体"/>
          <w:sz w:val="21"/>
          <w:szCs w:val="21"/>
          <w:shd w:val="clear" w:color="auto" w:fill="FFFFFF"/>
        </w:rPr>
        <w:t>2</w:t>
      </w:r>
      <w:r>
        <w:rPr>
          <w:rFonts w:hint="eastAsia" w:hAnsi="宋体"/>
          <w:sz w:val="21"/>
          <w:szCs w:val="21"/>
          <w:shd w:val="clear" w:color="auto" w:fill="FFFFFF"/>
        </w:rPr>
        <w:t>、机房隔音降噪措施：当机组运行时，在离机组</w:t>
      </w:r>
      <w:r>
        <w:rPr>
          <w:rFonts w:hAnsi="宋体"/>
          <w:sz w:val="21"/>
          <w:szCs w:val="21"/>
          <w:shd w:val="clear" w:color="auto" w:fill="FFFFFF"/>
        </w:rPr>
        <w:t>1</w:t>
      </w:r>
      <w:r>
        <w:rPr>
          <w:rFonts w:hint="eastAsia" w:hAnsi="宋体"/>
          <w:sz w:val="21"/>
          <w:szCs w:val="21"/>
          <w:shd w:val="clear" w:color="auto" w:fill="FFFFFF"/>
        </w:rPr>
        <w:t>米处，噪声可达≤</w:t>
      </w:r>
      <w:r>
        <w:rPr>
          <w:rFonts w:hAnsi="宋体"/>
          <w:sz w:val="21"/>
          <w:szCs w:val="21"/>
          <w:shd w:val="clear" w:color="auto" w:fill="FFFFFF"/>
        </w:rPr>
        <w:t>108dB(A)</w:t>
      </w:r>
      <w:r>
        <w:rPr>
          <w:rFonts w:hint="eastAsia" w:hAnsi="宋体"/>
          <w:sz w:val="21"/>
          <w:szCs w:val="21"/>
          <w:shd w:val="clear" w:color="auto" w:fill="FFFFFF"/>
        </w:rPr>
        <w:t>，过高的噪声将会对周围环境和人们生活带来影响，因此，必须对机组噪声进行环保治理，使之达到《声环境质量标准》</w:t>
      </w:r>
      <w:r>
        <w:rPr>
          <w:rFonts w:hAnsi="宋体"/>
          <w:sz w:val="21"/>
          <w:szCs w:val="21"/>
          <w:shd w:val="clear" w:color="auto" w:fill="FFFFFF"/>
        </w:rPr>
        <w:t>(GB3096-2008)2</w:t>
      </w:r>
      <w:r>
        <w:rPr>
          <w:rFonts w:hint="eastAsia" w:hAnsi="宋体"/>
          <w:sz w:val="21"/>
          <w:szCs w:val="21"/>
          <w:shd w:val="clear" w:color="auto" w:fill="FFFFFF"/>
        </w:rPr>
        <w:t>类声环境功能区标准。根据发电机噪声的性质，拟定采取隔声和消声相结合的技术方案。一是隔声：将发电机房通风口和进出口密封，隔离噪声向外扩散。二是消声，对发电机房与外界环境的换气风道、排气口的气流进行消声，噪声衰减后，再排出室外，其原理是：机组的噪声波入射到多孔、透气的超细玻璃棉中时，声波则会进入材料从而引起材料空隙中的空气和纤维发生振动，由于摩擦和粘滞阻力以及纤维的导热性能，大部分声能转化为热能消耗掉。</w:t>
      </w:r>
      <w:r>
        <w:rPr>
          <w:rFonts w:hAnsi="宋体"/>
          <w:sz w:val="21"/>
          <w:szCs w:val="21"/>
        </w:rPr>
        <w:br w:type="textWrapping"/>
      </w:r>
      <w:r>
        <w:rPr>
          <w:rFonts w:hint="eastAsia" w:hAnsi="宋体"/>
          <w:sz w:val="21"/>
          <w:szCs w:val="21"/>
        </w:rPr>
        <w:t>　　</w:t>
      </w:r>
      <w:r>
        <w:rPr>
          <w:rFonts w:hAnsi="宋体"/>
          <w:sz w:val="21"/>
          <w:szCs w:val="21"/>
          <w:shd w:val="clear" w:color="auto" w:fill="FFFFFF"/>
        </w:rPr>
        <w:t>2.1</w:t>
      </w:r>
      <w:r>
        <w:rPr>
          <w:rFonts w:hint="eastAsia" w:hAnsi="宋体"/>
          <w:sz w:val="21"/>
          <w:szCs w:val="21"/>
          <w:shd w:val="clear" w:color="auto" w:fill="FFFFFF"/>
        </w:rPr>
        <w:t>、进排风消声设计</w:t>
      </w:r>
      <w:r>
        <w:rPr>
          <w:rFonts w:hAnsi="宋体"/>
          <w:sz w:val="21"/>
          <w:szCs w:val="21"/>
        </w:rPr>
        <w:br w:type="textWrapping"/>
      </w:r>
      <w:r>
        <w:rPr>
          <w:rFonts w:hint="eastAsia" w:hAnsi="宋体"/>
          <w:sz w:val="21"/>
          <w:szCs w:val="21"/>
        </w:rPr>
        <w:t>　　</w:t>
      </w:r>
      <w:r>
        <w:rPr>
          <w:rFonts w:hint="eastAsia" w:hAnsi="宋体"/>
          <w:sz w:val="21"/>
          <w:szCs w:val="21"/>
          <w:shd w:val="clear" w:color="auto" w:fill="FFFFFF"/>
        </w:rPr>
        <w:t>机房环保工程必须根据机房的具体情况进行设计和施工。对于任何一个机房，为保障发电机组的正常工作，机房必须满足以下</w:t>
      </w:r>
      <w:r>
        <w:rPr>
          <w:rFonts w:hAnsi="宋体"/>
          <w:sz w:val="21"/>
          <w:szCs w:val="21"/>
          <w:shd w:val="clear" w:color="auto" w:fill="FFFFFF"/>
        </w:rPr>
        <w:t>2</w:t>
      </w:r>
      <w:r>
        <w:rPr>
          <w:rFonts w:hint="eastAsia" w:hAnsi="宋体"/>
          <w:sz w:val="21"/>
          <w:szCs w:val="21"/>
          <w:shd w:val="clear" w:color="auto" w:fill="FFFFFF"/>
        </w:rPr>
        <w:t>个条件：</w:t>
      </w:r>
      <w:r>
        <w:rPr>
          <w:rFonts w:hAnsi="宋体"/>
          <w:sz w:val="21"/>
          <w:szCs w:val="21"/>
        </w:rPr>
        <w:br w:type="textWrapping"/>
      </w:r>
      <w:r>
        <w:rPr>
          <w:rFonts w:hint="eastAsia" w:hAnsi="宋体"/>
          <w:sz w:val="21"/>
          <w:szCs w:val="21"/>
        </w:rPr>
        <w:t>　　</w:t>
      </w:r>
      <w:r>
        <w:rPr>
          <w:rFonts w:hAnsi="宋体"/>
          <w:sz w:val="21"/>
          <w:szCs w:val="21"/>
          <w:shd w:val="clear" w:color="auto" w:fill="FFFFFF"/>
        </w:rPr>
        <w:t>a</w:t>
      </w:r>
      <w:r>
        <w:rPr>
          <w:rFonts w:hint="eastAsia" w:hAnsi="宋体"/>
          <w:sz w:val="21"/>
          <w:szCs w:val="21"/>
          <w:shd w:val="clear" w:color="auto" w:fill="FFFFFF"/>
        </w:rPr>
        <w:t>、进风系统：每台柴油发电机组工作时需要大量的新鲜空气，主要用于柴油机燃油燃烧、电球冷却，所以机房必须有足够的进风</w:t>
      </w:r>
      <w:r>
        <w:rPr>
          <w:rFonts w:hint="eastAsia" w:hAnsi="宋体"/>
          <w:b/>
          <w:sz w:val="21"/>
          <w:szCs w:val="21"/>
          <w:shd w:val="clear" w:color="auto" w:fill="FFFFFF"/>
        </w:rPr>
        <w:t>；</w:t>
      </w:r>
      <w:r>
        <w:rPr>
          <w:rFonts w:hAnsi="宋体"/>
          <w:sz w:val="21"/>
          <w:szCs w:val="21"/>
          <w:shd w:val="clear" w:color="auto" w:fill="FFFFFF"/>
        </w:rPr>
        <w:br w:type="textWrapping"/>
      </w:r>
      <w:r>
        <w:rPr>
          <w:rFonts w:hint="eastAsia" w:hAnsi="宋体"/>
          <w:sz w:val="21"/>
          <w:szCs w:val="21"/>
          <w:shd w:val="clear" w:color="auto" w:fill="FFFFFF"/>
        </w:rPr>
        <w:t>　　</w:t>
      </w:r>
      <w:r>
        <w:rPr>
          <w:rFonts w:hAnsi="宋体"/>
          <w:sz w:val="21"/>
          <w:szCs w:val="21"/>
          <w:shd w:val="clear" w:color="auto" w:fill="FFFFFF"/>
        </w:rPr>
        <w:t>b</w:t>
      </w:r>
      <w:r>
        <w:rPr>
          <w:rFonts w:hint="eastAsia" w:hAnsi="宋体"/>
          <w:sz w:val="21"/>
          <w:szCs w:val="21"/>
          <w:shd w:val="clear" w:color="auto" w:fill="FFFFFF"/>
        </w:rPr>
        <w:t>、排风系统：柴油发电机工作时会产生大量的热量，此热量必须要抽出机房。如果不及时排清，抽进新鲜空气，就会使室内的温度不断升高，特别是由于隔声房相对封闭，具有保温作用，机房温度升高更快。风冷机组可利用柴油机本身所带动的风扇将室内热风鼓出室外，以保证机房温度不超过</w:t>
      </w:r>
      <w:r>
        <w:rPr>
          <w:rFonts w:hAnsi="宋体"/>
          <w:sz w:val="21"/>
          <w:szCs w:val="21"/>
          <w:shd w:val="clear" w:color="auto" w:fill="FFFFFF"/>
        </w:rPr>
        <w:t>50</w:t>
      </w:r>
      <w:r>
        <w:rPr>
          <w:rFonts w:hint="eastAsia" w:hAnsi="宋体"/>
          <w:sz w:val="21"/>
          <w:szCs w:val="21"/>
          <w:shd w:val="clear" w:color="auto" w:fill="FFFFFF"/>
        </w:rPr>
        <w:t>度，为发电机组提供一个正常的工作环境。</w:t>
      </w:r>
    </w:p>
    <w:p>
      <w:pPr>
        <w:pStyle w:val="27"/>
        <w:spacing w:line="360" w:lineRule="auto"/>
        <w:ind w:firstLine="315" w:firstLineChars="150"/>
        <w:rPr>
          <w:rFonts w:hAnsi="宋体"/>
          <w:sz w:val="21"/>
          <w:szCs w:val="21"/>
          <w:shd w:val="clear" w:color="auto" w:fill="FFFFFF"/>
        </w:rPr>
      </w:pPr>
      <w:r>
        <w:rPr>
          <w:rFonts w:hint="eastAsia" w:hAnsi="宋体"/>
          <w:sz w:val="21"/>
          <w:szCs w:val="21"/>
          <w:shd w:val="clear" w:color="auto" w:fill="FFFFFF"/>
        </w:rPr>
        <w:t>根据用户提供的图纸及现场情况，结合供货发电机组相关参数（排气流量、燃气量、冷却空气流量、热量散发等）设计一个合理的进风和排风面积。在进、排风井内安装阻性片式消音片，以防机房噪声外泄，达到消音的作用。消音片采用防火超细玻璃棉、玻璃纡维布、镀锌铁网等材料制成：内充超细玻璃棉，夹双层玻璃布，外包镀锌铁网护面，四周用</w:t>
      </w:r>
      <w:r>
        <w:rPr>
          <w:rFonts w:hAnsi="宋体"/>
          <w:sz w:val="21"/>
          <w:szCs w:val="21"/>
          <w:shd w:val="clear" w:color="auto" w:fill="FFFFFF"/>
        </w:rPr>
        <w:t>50</w:t>
      </w:r>
      <w:r>
        <w:rPr>
          <w:rFonts w:hint="eastAsia" w:hAnsi="宋体"/>
          <w:sz w:val="21"/>
          <w:szCs w:val="21"/>
          <w:shd w:val="clear" w:color="auto" w:fill="FFFFFF"/>
        </w:rPr>
        <w:t>㎜宽</w:t>
      </w:r>
      <w:r>
        <w:rPr>
          <w:rFonts w:hAnsi="宋体"/>
          <w:sz w:val="21"/>
          <w:szCs w:val="21"/>
          <w:shd w:val="clear" w:color="auto" w:fill="FFFFFF"/>
        </w:rPr>
        <w:t>E</w:t>
      </w:r>
      <w:r>
        <w:rPr>
          <w:rFonts w:hint="eastAsia" w:hAnsi="宋体"/>
          <w:sz w:val="21"/>
          <w:szCs w:val="21"/>
          <w:shd w:val="clear" w:color="auto" w:fill="FFFFFF"/>
        </w:rPr>
        <w:t>型笼骨架固定，每片消音片厚度约</w:t>
      </w:r>
      <w:r>
        <w:rPr>
          <w:rFonts w:hAnsi="宋体"/>
          <w:sz w:val="21"/>
          <w:szCs w:val="21"/>
          <w:shd w:val="clear" w:color="auto" w:fill="FFFFFF"/>
        </w:rPr>
        <w:t>10cm,</w:t>
      </w:r>
      <w:r>
        <w:rPr>
          <w:rFonts w:hint="eastAsia" w:hAnsi="宋体"/>
          <w:sz w:val="21"/>
          <w:szCs w:val="21"/>
          <w:shd w:val="clear" w:color="auto" w:fill="FFFFFF"/>
        </w:rPr>
        <w:t>有序的布置在风井内，间隔不大于</w:t>
      </w:r>
      <w:r>
        <w:rPr>
          <w:rFonts w:hAnsi="宋体"/>
          <w:sz w:val="21"/>
          <w:szCs w:val="21"/>
          <w:shd w:val="clear" w:color="auto" w:fill="FFFFFF"/>
        </w:rPr>
        <w:t>15cm</w:t>
      </w:r>
      <w:r>
        <w:rPr>
          <w:rFonts w:hint="eastAsia" w:hAnsi="宋体"/>
          <w:sz w:val="21"/>
          <w:szCs w:val="21"/>
          <w:shd w:val="clear" w:color="auto" w:fill="FFFFFF"/>
        </w:rPr>
        <w:t>。</w:t>
      </w:r>
    </w:p>
    <w:p>
      <w:pPr>
        <w:pStyle w:val="27"/>
        <w:spacing w:line="360" w:lineRule="auto"/>
        <w:ind w:firstLine="315" w:firstLineChars="150"/>
        <w:rPr>
          <w:rFonts w:hAnsi="宋体"/>
          <w:sz w:val="21"/>
          <w:szCs w:val="21"/>
          <w:shd w:val="clear" w:color="auto" w:fill="FFFFFF"/>
        </w:rPr>
      </w:pPr>
      <w:r>
        <w:rPr>
          <w:rFonts w:hint="eastAsia" w:hAnsi="宋体"/>
          <w:sz w:val="21"/>
          <w:szCs w:val="21"/>
          <w:shd w:val="clear" w:color="auto" w:fill="FFFFFF"/>
        </w:rPr>
        <w:t>减震导风罩：</w:t>
      </w:r>
    </w:p>
    <w:p>
      <w:pPr>
        <w:pStyle w:val="27"/>
        <w:spacing w:line="360" w:lineRule="auto"/>
        <w:ind w:firstLine="315" w:firstLineChars="150"/>
        <w:rPr>
          <w:rFonts w:hAnsi="宋体"/>
          <w:sz w:val="21"/>
          <w:szCs w:val="21"/>
          <w:shd w:val="clear" w:color="auto" w:fill="FFFFFF"/>
        </w:rPr>
      </w:pPr>
      <w:r>
        <w:rPr>
          <w:rFonts w:hint="eastAsia" w:hAnsi="宋体"/>
          <w:sz w:val="21"/>
          <w:szCs w:val="21"/>
          <w:shd w:val="clear" w:color="auto" w:fill="FFFFFF"/>
        </w:rPr>
        <w:t>在排风口设置</w:t>
      </w:r>
      <w:r>
        <w:rPr>
          <w:rFonts w:hAnsi="宋体"/>
          <w:sz w:val="21"/>
          <w:szCs w:val="21"/>
          <w:shd w:val="clear" w:color="auto" w:fill="FFFFFF"/>
        </w:rPr>
        <w:t>1.2</w:t>
      </w:r>
      <w:r>
        <w:rPr>
          <w:rFonts w:hint="eastAsia" w:hAnsi="宋体"/>
          <w:sz w:val="21"/>
          <w:szCs w:val="21"/>
          <w:shd w:val="clear" w:color="auto" w:fill="FFFFFF"/>
        </w:rPr>
        <w:t>倍水箱散热截面积的导风槽，再接减振软接头，阻断机组对墙震动。有条件时可做检修门。</w:t>
      </w:r>
    </w:p>
    <w:p>
      <w:pPr>
        <w:pStyle w:val="27"/>
        <w:spacing w:line="360" w:lineRule="auto"/>
        <w:ind w:firstLine="315" w:firstLineChars="150"/>
        <w:rPr>
          <w:rFonts w:hAnsi="宋体"/>
          <w:sz w:val="21"/>
          <w:szCs w:val="21"/>
          <w:shd w:val="clear" w:color="auto" w:fill="FFFFFF"/>
        </w:rPr>
      </w:pPr>
      <w:r>
        <w:rPr>
          <w:rFonts w:hint="eastAsia" w:hAnsi="宋体"/>
          <w:sz w:val="21"/>
          <w:szCs w:val="21"/>
          <w:shd w:val="clear" w:color="auto" w:fill="FFFFFF"/>
        </w:rPr>
        <w:t>发电房隔声门：</w:t>
      </w:r>
    </w:p>
    <w:p>
      <w:pPr>
        <w:pStyle w:val="27"/>
        <w:spacing w:line="360" w:lineRule="auto"/>
        <w:ind w:firstLine="315" w:firstLineChars="150"/>
        <w:rPr>
          <w:rFonts w:hAnsi="宋体"/>
          <w:sz w:val="21"/>
          <w:szCs w:val="21"/>
          <w:shd w:val="clear" w:color="auto" w:fill="FFFFFF"/>
        </w:rPr>
      </w:pPr>
      <w:r>
        <w:rPr>
          <w:rFonts w:hint="eastAsia" w:hAnsi="宋体"/>
          <w:sz w:val="21"/>
          <w:szCs w:val="21"/>
          <w:shd w:val="clear" w:color="auto" w:fill="FFFFFF"/>
        </w:rPr>
        <w:t>为了防止机房噪声外溢，安装具有高强度隔声和吸声功能的钢板重质隔声门，既能有效地降低噪声，又便于操作人员进入机房对发电机组进行操作及维护保养。隔声门参照国标</w:t>
      </w:r>
      <w:r>
        <w:rPr>
          <w:rFonts w:hAnsi="宋体"/>
          <w:sz w:val="21"/>
          <w:szCs w:val="21"/>
          <w:shd w:val="clear" w:color="auto" w:fill="FFFFFF"/>
        </w:rPr>
        <w:t>J649-M1021</w:t>
      </w:r>
      <w:r>
        <w:rPr>
          <w:rFonts w:hint="eastAsia" w:hAnsi="宋体"/>
          <w:sz w:val="21"/>
          <w:szCs w:val="21"/>
          <w:shd w:val="clear" w:color="auto" w:fill="FFFFFF"/>
        </w:rPr>
        <w:t>设计，门体为双层钢板复合结构，内填优质吸声岩棉材料，门体与门框是锥形封合并铺设富弹性的皮革利于封合紧帖，隔声量达到</w:t>
      </w:r>
      <w:r>
        <w:rPr>
          <w:rFonts w:hAnsi="宋体"/>
          <w:sz w:val="21"/>
          <w:szCs w:val="21"/>
          <w:shd w:val="clear" w:color="auto" w:fill="FFFFFF"/>
        </w:rPr>
        <w:t>40dB(A)</w:t>
      </w:r>
      <w:r>
        <w:rPr>
          <w:rFonts w:hint="eastAsia" w:hAnsi="宋体"/>
          <w:sz w:val="21"/>
          <w:szCs w:val="21"/>
          <w:shd w:val="clear" w:color="auto" w:fill="FFFFFF"/>
        </w:rPr>
        <w:t>以上。</w:t>
      </w:r>
    </w:p>
    <w:p>
      <w:pPr>
        <w:pStyle w:val="27"/>
        <w:spacing w:line="360" w:lineRule="auto"/>
        <w:ind w:firstLine="315" w:firstLineChars="150"/>
        <w:rPr>
          <w:rFonts w:hAnsi="宋体"/>
          <w:sz w:val="21"/>
          <w:szCs w:val="21"/>
          <w:shd w:val="clear" w:color="auto" w:fill="FFFFFF"/>
        </w:rPr>
      </w:pPr>
      <w:r>
        <w:rPr>
          <w:rFonts w:hint="eastAsia" w:hAnsi="宋体"/>
          <w:sz w:val="21"/>
          <w:szCs w:val="21"/>
          <w:shd w:val="clear" w:color="auto" w:fill="FFFFFF"/>
        </w:rPr>
        <w:t>机房的天花及墙面的吸声设计：</w:t>
      </w:r>
    </w:p>
    <w:p>
      <w:pPr>
        <w:pStyle w:val="27"/>
        <w:spacing w:line="360" w:lineRule="auto"/>
        <w:ind w:firstLine="315" w:firstLineChars="150"/>
        <w:rPr>
          <w:rFonts w:hAnsi="宋体"/>
          <w:sz w:val="21"/>
          <w:szCs w:val="21"/>
          <w:shd w:val="clear" w:color="auto" w:fill="FFFFFF"/>
        </w:rPr>
      </w:pPr>
      <w:r>
        <w:rPr>
          <w:rFonts w:hint="eastAsia" w:hAnsi="宋体"/>
          <w:sz w:val="21"/>
          <w:szCs w:val="21"/>
          <w:shd w:val="clear" w:color="auto" w:fill="FFFFFF"/>
        </w:rPr>
        <w:t>根据发电机组噪声的频谱及传播方式，选用衰减效果较好的吸音板，一方面可以吸收发电机房内的噪声，另一方面可以使发电机房起到美化作用。由于发电机组工作时发电机房内有一定的负压，同时发电机组工作时所产生的振动，因此天花及墙面的吸声装饰要具有一定的强度及钢度，牢固地安装在房顶和墙面，避免发电机组工作时损坏吸声装饰材料。吸声天花、吸声墙体采用镀锌轻钢龙骨</w:t>
      </w:r>
      <w:r>
        <w:rPr>
          <w:rFonts w:hAnsi="宋体"/>
          <w:sz w:val="21"/>
          <w:szCs w:val="21"/>
          <w:shd w:val="clear" w:color="auto" w:fill="FFFFFF"/>
        </w:rPr>
        <w:t>[</w:t>
      </w:r>
      <w:r>
        <w:rPr>
          <w:rFonts w:hint="eastAsia" w:hAnsi="宋体"/>
          <w:sz w:val="21"/>
          <w:szCs w:val="21"/>
          <w:shd w:val="clear" w:color="auto" w:fill="FFFFFF"/>
        </w:rPr>
        <w:t>主次龙骨的厚度≥</w:t>
      </w:r>
      <w:r>
        <w:rPr>
          <w:rFonts w:hAnsi="宋体"/>
          <w:sz w:val="21"/>
          <w:szCs w:val="21"/>
          <w:shd w:val="clear" w:color="auto" w:fill="FFFFFF"/>
        </w:rPr>
        <w:t>1.0MM]</w:t>
      </w:r>
      <w:r>
        <w:rPr>
          <w:rFonts w:hint="eastAsia" w:hAnsi="宋体"/>
          <w:sz w:val="21"/>
          <w:szCs w:val="21"/>
          <w:shd w:val="clear" w:color="auto" w:fill="FFFFFF"/>
        </w:rPr>
        <w:t>做基础，后敷设防火吸音岩棉</w:t>
      </w:r>
      <w:r>
        <w:rPr>
          <w:rFonts w:hAnsi="宋体"/>
          <w:sz w:val="21"/>
          <w:szCs w:val="21"/>
          <w:shd w:val="clear" w:color="auto" w:fill="FFFFFF"/>
        </w:rPr>
        <w:t>[</w:t>
      </w:r>
      <w:r>
        <w:rPr>
          <w:rFonts w:hint="eastAsia" w:hAnsi="宋体"/>
          <w:sz w:val="21"/>
          <w:szCs w:val="21"/>
          <w:shd w:val="clear" w:color="auto" w:fill="FFFFFF"/>
        </w:rPr>
        <w:t>岩棉厚度</w:t>
      </w:r>
      <w:r>
        <w:rPr>
          <w:rFonts w:hAnsi="宋体"/>
          <w:sz w:val="21"/>
          <w:szCs w:val="21"/>
          <w:shd w:val="clear" w:color="auto" w:fill="FFFFFF"/>
        </w:rPr>
        <w:t>50MM</w:t>
      </w:r>
      <w:r>
        <w:rPr>
          <w:rFonts w:hint="eastAsia" w:hAnsi="宋体"/>
          <w:sz w:val="21"/>
          <w:szCs w:val="21"/>
          <w:shd w:val="clear" w:color="auto" w:fill="FFFFFF"/>
        </w:rPr>
        <w:t>、岩棉</w:t>
      </w:r>
      <w:r>
        <w:rPr>
          <w:rFonts w:hAnsi="宋体"/>
          <w:sz w:val="21"/>
          <w:szCs w:val="21"/>
          <w:shd w:val="clear" w:color="auto" w:fill="FFFFFF"/>
        </w:rPr>
        <w:t>40KG/</w:t>
      </w:r>
      <w:r>
        <w:rPr>
          <w:rFonts w:hint="eastAsia" w:hAnsi="宋体"/>
          <w:sz w:val="21"/>
          <w:szCs w:val="21"/>
          <w:shd w:val="clear" w:color="auto" w:fill="FFFFFF"/>
        </w:rPr>
        <w:t>立方</w:t>
      </w:r>
      <w:r>
        <w:rPr>
          <w:rFonts w:hAnsi="宋体"/>
          <w:sz w:val="21"/>
          <w:szCs w:val="21"/>
          <w:shd w:val="clear" w:color="auto" w:fill="FFFFFF"/>
        </w:rPr>
        <w:t>]</w:t>
      </w:r>
      <w:r>
        <w:rPr>
          <w:rFonts w:hint="eastAsia" w:hAnsi="宋体"/>
          <w:sz w:val="21"/>
          <w:szCs w:val="21"/>
          <w:shd w:val="clear" w:color="auto" w:fill="FFFFFF"/>
        </w:rPr>
        <w:t>，再加贴多孔金属材料消音饰板（规格</w:t>
      </w:r>
      <w:r>
        <w:rPr>
          <w:rFonts w:hAnsi="宋体"/>
          <w:sz w:val="21"/>
          <w:szCs w:val="21"/>
          <w:shd w:val="clear" w:color="auto" w:fill="FFFFFF"/>
        </w:rPr>
        <w:t>600</w:t>
      </w:r>
      <w:r>
        <w:rPr>
          <w:rFonts w:hint="eastAsia" w:hAnsi="宋体"/>
          <w:sz w:val="21"/>
          <w:szCs w:val="21"/>
          <w:shd w:val="clear" w:color="auto" w:fill="FFFFFF"/>
        </w:rPr>
        <w:t>×</w:t>
      </w:r>
      <w:r>
        <w:rPr>
          <w:rFonts w:hAnsi="宋体"/>
          <w:sz w:val="21"/>
          <w:szCs w:val="21"/>
          <w:shd w:val="clear" w:color="auto" w:fill="FFFFFF"/>
        </w:rPr>
        <w:t>600</w:t>
      </w:r>
      <w:r>
        <w:rPr>
          <w:rFonts w:hint="eastAsia" w:hAnsi="宋体"/>
          <w:sz w:val="21"/>
          <w:szCs w:val="21"/>
          <w:shd w:val="clear" w:color="auto" w:fill="FFFFFF"/>
        </w:rPr>
        <w:t>、厚度不小于</w:t>
      </w:r>
      <w:r>
        <w:rPr>
          <w:rFonts w:hAnsi="宋体"/>
          <w:sz w:val="21"/>
          <w:szCs w:val="21"/>
          <w:shd w:val="clear" w:color="auto" w:fill="FFFFFF"/>
        </w:rPr>
        <w:t>1MM</w:t>
      </w:r>
      <w:r>
        <w:rPr>
          <w:rFonts w:hint="eastAsia" w:hAnsi="宋体"/>
          <w:sz w:val="21"/>
          <w:szCs w:val="21"/>
          <w:shd w:val="clear" w:color="auto" w:fill="FFFFFF"/>
        </w:rPr>
        <w:t>铝扣板）以实现阻尼消音。充分满足发电机房防潮的要求、美观且坚固耐用。吸声天花、吸声墙体采用同一种材料，颜色为浅色系。</w:t>
      </w:r>
    </w:p>
    <w:p>
      <w:pPr>
        <w:pStyle w:val="27"/>
        <w:spacing w:line="360" w:lineRule="auto"/>
        <w:ind w:firstLine="315" w:firstLineChars="150"/>
        <w:rPr>
          <w:rFonts w:hint="eastAsia" w:hAnsi="宋体"/>
          <w:sz w:val="21"/>
          <w:szCs w:val="21"/>
          <w:shd w:val="clear" w:color="auto" w:fill="FFFFFF"/>
        </w:rPr>
      </w:pPr>
      <w:r>
        <w:rPr>
          <w:rFonts w:hint="eastAsia" w:hAnsi="宋体"/>
          <w:sz w:val="21"/>
          <w:szCs w:val="21"/>
          <w:shd w:val="clear" w:color="auto" w:fill="FFFFFF"/>
        </w:rPr>
        <w:t>吸音天花：由于发电机的噪声是立体的往四周辐射，而地面的吸声系数非常小，它会把声波反射到吊顶的天花。天花是采用专用吸声铝扣板及龙骨，吸声铝扣板厚度</w:t>
      </w:r>
      <w:r>
        <w:rPr>
          <w:rFonts w:hAnsi="宋体"/>
          <w:sz w:val="21"/>
          <w:szCs w:val="21"/>
          <w:shd w:val="clear" w:color="auto" w:fill="FFFFFF"/>
        </w:rPr>
        <w:t>1mm</w:t>
      </w:r>
      <w:r>
        <w:rPr>
          <w:rFonts w:hint="eastAsia" w:hAnsi="宋体"/>
          <w:sz w:val="21"/>
          <w:szCs w:val="21"/>
          <w:shd w:val="clear" w:color="auto" w:fill="FFFFFF"/>
        </w:rPr>
        <w:t>、孔径</w:t>
      </w:r>
      <w:r>
        <w:rPr>
          <w:rFonts w:hAnsi="宋体"/>
          <w:sz w:val="21"/>
          <w:szCs w:val="21"/>
          <w:shd w:val="clear" w:color="auto" w:fill="FFFFFF"/>
        </w:rPr>
        <w:t>2mm</w:t>
      </w:r>
      <w:r>
        <w:rPr>
          <w:rFonts w:hint="eastAsia" w:hAnsi="宋体"/>
          <w:sz w:val="21"/>
          <w:szCs w:val="21"/>
          <w:shd w:val="clear" w:color="auto" w:fill="FFFFFF"/>
        </w:rPr>
        <w:t>、穿孔率＞</w:t>
      </w:r>
      <w:r>
        <w:rPr>
          <w:rFonts w:hAnsi="宋体"/>
          <w:sz w:val="21"/>
          <w:szCs w:val="21"/>
          <w:shd w:val="clear" w:color="auto" w:fill="FFFFFF"/>
        </w:rPr>
        <w:t>20%</w:t>
      </w:r>
      <w:r>
        <w:rPr>
          <w:rFonts w:hint="eastAsia" w:hAnsi="宋体"/>
          <w:sz w:val="21"/>
          <w:szCs w:val="21"/>
          <w:shd w:val="clear" w:color="auto" w:fill="FFFFFF"/>
        </w:rPr>
        <w:t>。上敷设</w:t>
      </w:r>
      <w:r>
        <w:rPr>
          <w:rFonts w:hAnsi="宋体"/>
          <w:sz w:val="21"/>
          <w:szCs w:val="21"/>
          <w:shd w:val="clear" w:color="auto" w:fill="FFFFFF"/>
        </w:rPr>
        <w:t>50mm</w:t>
      </w:r>
      <w:r>
        <w:rPr>
          <w:rFonts w:hint="eastAsia" w:hAnsi="宋体"/>
          <w:sz w:val="21"/>
          <w:szCs w:val="21"/>
          <w:shd w:val="clear" w:color="auto" w:fill="FFFFFF"/>
        </w:rPr>
        <w:t>厚的优质防火玻璃纤维棉作吸声材料（容重为</w:t>
      </w:r>
      <w:r>
        <w:rPr>
          <w:rFonts w:hAnsi="宋体"/>
          <w:sz w:val="21"/>
          <w:szCs w:val="21"/>
          <w:shd w:val="clear" w:color="auto" w:fill="FFFFFF"/>
        </w:rPr>
        <w:t>40Kg/m3</w:t>
      </w:r>
      <w:r>
        <w:rPr>
          <w:rFonts w:hint="eastAsia" w:hAnsi="宋体"/>
          <w:sz w:val="21"/>
          <w:szCs w:val="21"/>
          <w:shd w:val="clear" w:color="auto" w:fill="FFFFFF"/>
        </w:rPr>
        <w:t>）。天花吊顶的高度为距离本层地板高度≥</w:t>
      </w:r>
      <w:r>
        <w:rPr>
          <w:rFonts w:hAnsi="宋体"/>
          <w:sz w:val="21"/>
          <w:szCs w:val="21"/>
          <w:shd w:val="clear" w:color="auto" w:fill="FFFFFF"/>
        </w:rPr>
        <w:t>2.8</w:t>
      </w:r>
      <w:r>
        <w:rPr>
          <w:rFonts w:hint="eastAsia" w:hAnsi="宋体"/>
          <w:sz w:val="21"/>
          <w:szCs w:val="21"/>
          <w:shd w:val="clear" w:color="auto" w:fill="FFFFFF"/>
        </w:rPr>
        <w:t>米。</w:t>
      </w:r>
      <w:r>
        <w:rPr>
          <w:rFonts w:hAnsi="宋体"/>
          <w:sz w:val="21"/>
          <w:szCs w:val="21"/>
        </w:rPr>
        <w:br w:type="textWrapping"/>
      </w:r>
      <w:r>
        <w:rPr>
          <w:rFonts w:hint="eastAsia" w:hAnsi="宋体"/>
          <w:sz w:val="21"/>
          <w:szCs w:val="21"/>
        </w:rPr>
        <w:t>　　</w:t>
      </w:r>
      <w:r>
        <w:rPr>
          <w:rFonts w:hAnsi="宋体"/>
          <w:sz w:val="21"/>
          <w:szCs w:val="21"/>
          <w:shd w:val="clear" w:color="auto" w:fill="FFFFFF"/>
        </w:rPr>
        <w:t>b</w:t>
      </w:r>
      <w:r>
        <w:rPr>
          <w:rFonts w:hint="eastAsia" w:hAnsi="宋体"/>
          <w:sz w:val="21"/>
          <w:szCs w:val="21"/>
          <w:shd w:val="clear" w:color="auto" w:fill="FFFFFF"/>
        </w:rPr>
        <w:t>、吸音墙壁：</w:t>
      </w:r>
      <w:r>
        <w:rPr>
          <w:rFonts w:hAnsi="宋体"/>
          <w:sz w:val="21"/>
          <w:szCs w:val="21"/>
        </w:rPr>
        <w:br w:type="textWrapping"/>
      </w:r>
      <w:r>
        <w:rPr>
          <w:rFonts w:hint="eastAsia" w:hAnsi="宋体"/>
          <w:sz w:val="21"/>
          <w:szCs w:val="21"/>
        </w:rPr>
        <w:t>　　</w:t>
      </w:r>
      <w:r>
        <w:rPr>
          <w:rFonts w:hint="eastAsia" w:hAnsi="宋体"/>
          <w:sz w:val="21"/>
          <w:szCs w:val="21"/>
          <w:shd w:val="clear" w:color="auto" w:fill="FFFFFF"/>
        </w:rPr>
        <w:t>为保证机房内的噪声不改变频率（由</w:t>
      </w:r>
      <w:r>
        <w:rPr>
          <w:rFonts w:hAnsi="宋体"/>
          <w:sz w:val="21"/>
          <w:szCs w:val="21"/>
          <w:shd w:val="clear" w:color="auto" w:fill="FFFFFF"/>
        </w:rPr>
        <w:t>500Hz~4000Hz</w:t>
      </w:r>
      <w:r>
        <w:rPr>
          <w:rFonts w:hint="eastAsia" w:hAnsi="宋体"/>
          <w:sz w:val="21"/>
          <w:szCs w:val="21"/>
          <w:shd w:val="clear" w:color="auto" w:fill="FFFFFF"/>
        </w:rPr>
        <w:t>变为以小于</w:t>
      </w:r>
      <w:r>
        <w:rPr>
          <w:rFonts w:hAnsi="宋体"/>
          <w:sz w:val="21"/>
          <w:szCs w:val="21"/>
          <w:shd w:val="clear" w:color="auto" w:fill="FFFFFF"/>
        </w:rPr>
        <w:t>500Hz</w:t>
      </w:r>
      <w:r>
        <w:rPr>
          <w:rFonts w:hint="eastAsia" w:hAnsi="宋体"/>
          <w:sz w:val="21"/>
          <w:szCs w:val="21"/>
          <w:shd w:val="clear" w:color="auto" w:fill="FFFFFF"/>
        </w:rPr>
        <w:t>为主的声波）往外界辐射，影响周围人的正常活动，因此必须在墙面敷设</w:t>
      </w:r>
      <w:r>
        <w:rPr>
          <w:rFonts w:hAnsi="宋体"/>
          <w:sz w:val="21"/>
          <w:szCs w:val="21"/>
          <w:shd w:val="clear" w:color="auto" w:fill="FFFFFF"/>
        </w:rPr>
        <w:t>50mm</w:t>
      </w:r>
      <w:r>
        <w:rPr>
          <w:rFonts w:hint="eastAsia" w:hAnsi="宋体"/>
          <w:sz w:val="21"/>
          <w:szCs w:val="21"/>
          <w:shd w:val="clear" w:color="auto" w:fill="FFFFFF"/>
        </w:rPr>
        <w:t>厚的优质防火玻璃纤维棉作吸声材料（容重为</w:t>
      </w:r>
      <w:r>
        <w:rPr>
          <w:rFonts w:hAnsi="宋体"/>
          <w:sz w:val="21"/>
          <w:szCs w:val="21"/>
          <w:shd w:val="clear" w:color="auto" w:fill="FFFFFF"/>
        </w:rPr>
        <w:t>40Kg/m3</w:t>
      </w:r>
      <w:r>
        <w:rPr>
          <w:rFonts w:hint="eastAsia" w:hAnsi="宋体"/>
          <w:sz w:val="21"/>
          <w:szCs w:val="21"/>
          <w:shd w:val="clear" w:color="auto" w:fill="FFFFFF"/>
        </w:rPr>
        <w:t>），外壁用厚度</w:t>
      </w:r>
      <w:r>
        <w:rPr>
          <w:rFonts w:hAnsi="宋体"/>
          <w:sz w:val="21"/>
          <w:szCs w:val="21"/>
          <w:shd w:val="clear" w:color="auto" w:fill="FFFFFF"/>
        </w:rPr>
        <w:t>0.7mm</w:t>
      </w:r>
      <w:r>
        <w:rPr>
          <w:rFonts w:hint="eastAsia" w:hAnsi="宋体"/>
          <w:sz w:val="21"/>
          <w:szCs w:val="21"/>
          <w:shd w:val="clear" w:color="auto" w:fill="FFFFFF"/>
        </w:rPr>
        <w:t>的穿孔吸声铝扣板作为墙面吸声材料。吸声墙壁安装从本层地面到吊顶高度，墙根预留</w:t>
      </w:r>
      <w:r>
        <w:rPr>
          <w:rFonts w:hAnsi="宋体"/>
          <w:sz w:val="21"/>
          <w:szCs w:val="21"/>
          <w:shd w:val="clear" w:color="auto" w:fill="FFFFFF"/>
        </w:rPr>
        <w:t>15cm</w:t>
      </w:r>
      <w:r>
        <w:rPr>
          <w:rFonts w:hint="eastAsia" w:hAnsi="宋体"/>
          <w:sz w:val="21"/>
          <w:szCs w:val="21"/>
          <w:shd w:val="clear" w:color="auto" w:fill="FFFFFF"/>
        </w:rPr>
        <w:t>高墙身，吸音墙</w:t>
      </w:r>
      <w:r>
        <w:rPr>
          <w:rFonts w:hint="eastAsia" w:hAnsi="宋体"/>
          <w:sz w:val="21"/>
          <w:szCs w:val="21"/>
        </w:rPr>
        <w:t>弧形收口</w:t>
      </w:r>
      <w:r>
        <w:rPr>
          <w:rFonts w:hint="eastAsia" w:hAnsi="宋体"/>
          <w:sz w:val="21"/>
          <w:szCs w:val="21"/>
          <w:shd w:val="clear" w:color="auto" w:fill="FFFFFF"/>
        </w:rPr>
        <w:t>，墙体阴阳角及天花交接口采用金属角边压条固定。</w:t>
      </w:r>
      <w:r>
        <w:rPr>
          <w:rFonts w:hAnsi="宋体"/>
          <w:sz w:val="21"/>
          <w:szCs w:val="21"/>
        </w:rPr>
        <w:br w:type="textWrapping"/>
      </w:r>
      <w:r>
        <w:rPr>
          <w:rFonts w:hint="eastAsia" w:hAnsi="宋体"/>
          <w:sz w:val="21"/>
          <w:szCs w:val="21"/>
        </w:rPr>
        <w:t>　　</w:t>
      </w:r>
      <w:r>
        <w:rPr>
          <w:rFonts w:hAnsi="宋体"/>
          <w:sz w:val="21"/>
          <w:szCs w:val="21"/>
          <w:shd w:val="clear" w:color="auto" w:fill="FFFFFF"/>
        </w:rPr>
        <w:t>3</w:t>
      </w:r>
      <w:r>
        <w:rPr>
          <w:rFonts w:hint="eastAsia" w:hAnsi="宋体"/>
          <w:sz w:val="21"/>
          <w:szCs w:val="21"/>
          <w:shd w:val="clear" w:color="auto" w:fill="FFFFFF"/>
        </w:rPr>
        <w:t>、烟管及一级消音器是另一重要的振动源，烟管与发电机组连接时，采用不锈钢柔性软接，隔开振动的传播途径。同时固定一级消音器时，通过加装弹簧吊架，保证振动对建筑物的影响。与机组连接的油管、动力输出电力电缆等，均使用柔性连接，消音器采用三级阻尼式排气净化复合消声器、鉴于柴油机排气的温度一般是在</w:t>
      </w:r>
      <w:r>
        <w:rPr>
          <w:rFonts w:hAnsi="宋体"/>
          <w:sz w:val="21"/>
          <w:szCs w:val="21"/>
          <w:shd w:val="clear" w:color="auto" w:fill="FFFFFF"/>
        </w:rPr>
        <w:t>500</w:t>
      </w:r>
      <w:r>
        <w:rPr>
          <w:rFonts w:hint="eastAsia" w:hAnsi="宋体"/>
          <w:sz w:val="21"/>
          <w:szCs w:val="21"/>
          <w:shd w:val="clear" w:color="auto" w:fill="FFFFFF"/>
        </w:rPr>
        <w:t>℃左右，排气压力较大，同时排气夹杂着油污烟气，因此消声器必须具有足够的消声量，功率损失少，材质及结构耐高温，耐冲击，不怕油污，牢固耐用。机组的排烟管要求无缝国标钢管，外涂防锈高温漆，包裹</w:t>
      </w:r>
      <w:r>
        <w:rPr>
          <w:rFonts w:hAnsi="宋体"/>
          <w:sz w:val="21"/>
          <w:szCs w:val="21"/>
          <w:shd w:val="clear" w:color="auto" w:fill="FFFFFF"/>
        </w:rPr>
        <w:t>50mm</w:t>
      </w:r>
      <w:r>
        <w:rPr>
          <w:rFonts w:hint="eastAsia" w:hAnsi="宋体"/>
          <w:sz w:val="21"/>
          <w:szCs w:val="21"/>
          <w:shd w:val="clear" w:color="auto" w:fill="FFFFFF"/>
        </w:rPr>
        <w:t>厚岩棉套管再以铝铂纸包裹，达到隔热效果，从而有效防止机房室温上升。发电机尾气经不锈钢波纹管膨胀节减振后，经消声器消声后予以排放。为了更好的防止噪音和震动</w:t>
      </w:r>
      <w:r>
        <w:rPr>
          <w:rFonts w:hAnsi="宋体"/>
          <w:sz w:val="21"/>
          <w:szCs w:val="21"/>
          <w:shd w:val="clear" w:color="auto" w:fill="FFFFFF"/>
        </w:rPr>
        <w:t>,</w:t>
      </w:r>
      <w:r>
        <w:rPr>
          <w:rFonts w:hint="eastAsia" w:hAnsi="宋体"/>
          <w:sz w:val="21"/>
          <w:szCs w:val="21"/>
          <w:shd w:val="clear" w:color="auto" w:fill="FFFFFF"/>
        </w:rPr>
        <w:t>排烟管安装时应采用弹簧吊架。</w:t>
      </w:r>
      <w:r>
        <w:rPr>
          <w:rFonts w:hAnsi="宋体"/>
          <w:sz w:val="21"/>
          <w:szCs w:val="21"/>
          <w:shd w:val="clear" w:color="auto" w:fill="FFFFFF"/>
        </w:rPr>
        <w:br w:type="textWrapping"/>
      </w:r>
      <w:r>
        <w:rPr>
          <w:rFonts w:hint="eastAsia" w:hAnsi="宋体"/>
          <w:sz w:val="21"/>
          <w:szCs w:val="21"/>
          <w:shd w:val="clear" w:color="auto" w:fill="FFFFFF"/>
        </w:rPr>
        <w:t>　　</w:t>
      </w:r>
      <w:r>
        <w:rPr>
          <w:rFonts w:hAnsi="宋体"/>
          <w:sz w:val="21"/>
          <w:szCs w:val="21"/>
          <w:shd w:val="clear" w:color="auto" w:fill="FFFFFF"/>
        </w:rPr>
        <w:t>4</w:t>
      </w:r>
      <w:r>
        <w:rPr>
          <w:rFonts w:hint="eastAsia" w:hAnsi="宋体"/>
          <w:sz w:val="21"/>
          <w:szCs w:val="21"/>
          <w:shd w:val="clear" w:color="auto" w:fill="FFFFFF"/>
        </w:rPr>
        <w:t>、废气除尘净化设计</w:t>
      </w:r>
    </w:p>
    <w:p>
      <w:pPr>
        <w:pStyle w:val="27"/>
        <w:spacing w:line="360" w:lineRule="auto"/>
        <w:ind w:firstLine="315" w:firstLineChars="150"/>
        <w:rPr>
          <w:rFonts w:hint="default"/>
          <w:lang w:val="en-US" w:eastAsia="zh-CN"/>
        </w:rPr>
      </w:pPr>
      <w:r>
        <w:rPr>
          <w:rFonts w:hint="eastAsia" w:hAnsi="宋体"/>
          <w:sz w:val="21"/>
          <w:szCs w:val="21"/>
          <w:shd w:val="clear" w:color="auto" w:fill="FFFFFF"/>
        </w:rPr>
        <w:t>依用户的要求，拟设计将发电机组的排烟管在机房内通过湿式除尘器对发电机组进行黑烟处理。该除尘器能有效的解决黑烟问题。本设计方案中经过湿式除尘器对机组黑烟进行处理，要求在发电机房内适当位置安置一套废气净化系统，通过水喷淋的方式对烟雾进行净化。经净化后的废气呈水蒸汽的形式通过排烟管排出室外雨水井。除尘器采用全钢结构，经治理后，在废气最终排放口测定黑度，将符合《大气污染物排放标准》（</w:t>
      </w:r>
      <w:r>
        <w:rPr>
          <w:rFonts w:hAnsi="宋体"/>
          <w:sz w:val="21"/>
          <w:szCs w:val="21"/>
          <w:shd w:val="clear" w:color="auto" w:fill="FFFFFF"/>
        </w:rPr>
        <w:t>GB4427-2001</w:t>
      </w:r>
      <w:r>
        <w:rPr>
          <w:rFonts w:hint="eastAsia" w:hAnsi="宋体"/>
          <w:sz w:val="21"/>
          <w:szCs w:val="21"/>
          <w:shd w:val="clear" w:color="auto" w:fill="FFFFFF"/>
        </w:rPr>
        <w:t>）之一级标准，即：林格曼黑度≤</w:t>
      </w:r>
      <w:r>
        <w:rPr>
          <w:rFonts w:hAnsi="宋体"/>
          <w:sz w:val="21"/>
          <w:szCs w:val="21"/>
          <w:shd w:val="clear" w:color="auto" w:fill="FFFFFF"/>
        </w:rPr>
        <w:t>1</w:t>
      </w:r>
      <w:r>
        <w:rPr>
          <w:rFonts w:hint="eastAsia" w:hAnsi="宋体"/>
          <w:sz w:val="21"/>
          <w:szCs w:val="21"/>
          <w:shd w:val="clear" w:color="auto" w:fill="FFFFFF"/>
        </w:rPr>
        <w:t>级。</w:t>
      </w:r>
    </w:p>
    <w:p>
      <w:pPr>
        <w:widowControl w:val="0"/>
        <w:tabs>
          <w:tab w:val="left" w:pos="840"/>
        </w:tabs>
        <w:spacing w:line="360" w:lineRule="auto"/>
        <w:jc w:val="both"/>
        <w:rPr>
          <w:rFonts w:ascii="宋体" w:hAnsi="宋体"/>
          <w:b/>
          <w:color w:val="auto"/>
          <w:szCs w:val="16"/>
          <w:highlight w:val="none"/>
        </w:rPr>
      </w:pPr>
      <w:r>
        <w:rPr>
          <w:rFonts w:hint="eastAsia" w:ascii="宋体" w:hAnsi="宋体"/>
          <w:b/>
          <w:szCs w:val="21"/>
          <w:lang w:eastAsia="zh-CN"/>
        </w:rPr>
        <w:t>四、</w:t>
      </w:r>
      <w:r>
        <w:rPr>
          <w:rFonts w:hint="eastAsia" w:ascii="宋体" w:hAnsi="宋体"/>
          <w:b/>
          <w:szCs w:val="21"/>
        </w:rPr>
        <w:t>安装、装卸、运输、保管及保险</w:t>
      </w:r>
    </w:p>
    <w:p>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.1包装必须与运输方式相适应，包装方式的确定及包装费用均由中标供应商负责；由于不适用当的包装而造成货物在运输过程中有任何损坏、丢失由中标供应商负责。</w:t>
      </w:r>
    </w:p>
    <w:p>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.2包装应足以承受整个过程中的运输、装运、装卸、储存等，充分考虑到运输途中的各种情况（如暴露于恶劣气候等）和中山地区的气候特点，以及露天存放的需要。</w:t>
      </w:r>
    </w:p>
    <w:p>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.3专用工具及备品备件应分别包装，并在包装箱外加以注明其用处。</w:t>
      </w:r>
    </w:p>
    <w:p>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4每一包装箱两个侧面用不褪色的油漆和明显易见的中文字样做出标记。标记内容包括：箱（件）号、转运标志（唛头）、毛重（kg）、尺码（长*宽*高，用mm表示）、净重（kg）、到货地址、收货人名称、货物名称、合同编号以及“忽进潮湿”、 “小心轻放”、 “此边向上”等。</w:t>
      </w:r>
    </w:p>
    <w:p>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.5包装费、运费已包含在投标总价内。</w:t>
      </w:r>
    </w:p>
    <w:p>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.6未拆包装的货物在现场的保管由安装单位负责，拆包装时需由采购人、安装单位、供货单位共同拆装验收。</w:t>
      </w:r>
    </w:p>
    <w:p>
      <w:pPr>
        <w:widowControl w:val="0"/>
        <w:numPr>
          <w:ilvl w:val="0"/>
          <w:numId w:val="0"/>
        </w:numPr>
        <w:tabs>
          <w:tab w:val="left" w:pos="424"/>
        </w:tabs>
        <w:spacing w:line="360" w:lineRule="auto"/>
        <w:ind w:leftChars="0" w:firstLine="420" w:firstLineChars="200"/>
        <w:jc w:val="both"/>
        <w:rPr>
          <w:rFonts w:ascii="宋体" w:hAnsi="宋体"/>
          <w:color w:val="auto"/>
          <w:szCs w:val="21"/>
          <w:highlight w:val="none"/>
        </w:rPr>
      </w:pPr>
      <w:r>
        <w:rPr>
          <w:rFonts w:hint="eastAsia" w:ascii="宋体" w:hAnsi="宋体"/>
          <w:szCs w:val="21"/>
          <w:lang w:val="en-US" w:eastAsia="zh-CN"/>
        </w:rPr>
        <w:t>4</w:t>
      </w:r>
      <w:r>
        <w:rPr>
          <w:rFonts w:hint="eastAsia" w:ascii="宋体" w:hAnsi="宋体"/>
          <w:szCs w:val="21"/>
        </w:rPr>
        <w:t>.7货物在验收合格前的保险由中标供应商负责，中标供应商负责其派出的现场服务人员人身意外保险。</w:t>
      </w:r>
    </w:p>
    <w:p>
      <w:pPr>
        <w:spacing w:line="360" w:lineRule="auto"/>
        <w:rPr>
          <w:rFonts w:hint="eastAsia" w:ascii="宋体" w:hAnsi="宋体"/>
          <w:b/>
          <w:szCs w:val="21"/>
        </w:rPr>
      </w:pPr>
      <w:r>
        <w:rPr>
          <w:rFonts w:hint="eastAsia" w:ascii="宋体" w:hAnsi="宋体"/>
          <w:b/>
          <w:szCs w:val="21"/>
          <w:lang w:eastAsia="zh-CN"/>
        </w:rPr>
        <w:t>五、</w:t>
      </w:r>
      <w:r>
        <w:rPr>
          <w:rFonts w:hint="eastAsia" w:ascii="宋体" w:hAnsi="宋体"/>
          <w:b/>
          <w:szCs w:val="21"/>
        </w:rPr>
        <w:t>安装及调试</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.1中标供应商负责到用户指点的地点进行安装及调试。</w:t>
      </w:r>
    </w:p>
    <w:p>
      <w:pPr>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5</w:t>
      </w:r>
      <w:r>
        <w:rPr>
          <w:rFonts w:hint="eastAsia" w:ascii="宋体" w:hAnsi="宋体"/>
          <w:szCs w:val="21"/>
        </w:rPr>
        <w:t>.2中标供应商应设指导安装负责人，负责指导安装协调管理工作。</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.3货物的拆箱、指导安装及调试等项工作由中标供应商负责指导，但必须在采购人制定人员的参与下进行。调试的原始记录经各方签字后作为验收的文件之一。</w:t>
      </w:r>
    </w:p>
    <w:p>
      <w:pPr>
        <w:spacing w:line="360" w:lineRule="auto"/>
        <w:rPr>
          <w:rFonts w:hint="eastAsia" w:ascii="宋体" w:hAnsi="宋体"/>
          <w:b/>
          <w:szCs w:val="21"/>
        </w:rPr>
      </w:pPr>
      <w:r>
        <w:rPr>
          <w:rFonts w:hint="eastAsia" w:ascii="宋体" w:hAnsi="宋体"/>
          <w:b/>
          <w:color w:val="auto"/>
          <w:szCs w:val="21"/>
          <w:highlight w:val="none"/>
          <w:lang w:eastAsia="zh-CN"/>
        </w:rPr>
        <w:t>六</w:t>
      </w:r>
      <w:r>
        <w:rPr>
          <w:rFonts w:hint="eastAsia" w:ascii="宋体" w:hAnsi="宋体"/>
          <w:b/>
          <w:color w:val="auto"/>
          <w:szCs w:val="21"/>
          <w:highlight w:val="none"/>
        </w:rPr>
        <w:t>、</w:t>
      </w:r>
      <w:r>
        <w:rPr>
          <w:rFonts w:hint="eastAsia" w:ascii="宋体" w:hAnsi="宋体"/>
          <w:b/>
          <w:szCs w:val="21"/>
        </w:rPr>
        <w:t xml:space="preserve">项目管理及进度安排   </w:t>
      </w:r>
    </w:p>
    <w:p>
      <w:pPr>
        <w:widowControl w:val="0"/>
        <w:tabs>
          <w:tab w:val="left" w:pos="824"/>
        </w:tabs>
        <w:spacing w:line="360" w:lineRule="auto"/>
        <w:ind w:left="420" w:leftChars="200" w:firstLine="0" w:firstLineChars="0"/>
        <w:jc w:val="both"/>
        <w:rPr>
          <w:rFonts w:ascii="宋体" w:hAnsi="宋体"/>
          <w:color w:val="auto"/>
          <w:highlight w:val="none"/>
        </w:rPr>
      </w:pPr>
      <w:r>
        <w:rPr>
          <w:rFonts w:hint="eastAsia" w:ascii="宋体" w:hAnsi="宋体"/>
          <w:szCs w:val="21"/>
        </w:rPr>
        <w:t>为了使项目按质、按量、按时及有序实施，需要下列项目管理要求：投标人必须报配合调试人员姓名、职务、职称，只要资历、经验及承担过的项目。</w:t>
      </w:r>
    </w:p>
    <w:p>
      <w:pPr>
        <w:spacing w:line="360" w:lineRule="auto"/>
        <w:rPr>
          <w:rFonts w:hint="eastAsia" w:ascii="宋体" w:hAnsi="宋体"/>
          <w:b/>
          <w:szCs w:val="21"/>
        </w:rPr>
      </w:pPr>
      <w:r>
        <w:rPr>
          <w:rFonts w:hint="eastAsia" w:ascii="宋体" w:hAnsi="宋体"/>
          <w:b/>
          <w:szCs w:val="21"/>
          <w:lang w:eastAsia="zh-CN"/>
        </w:rPr>
        <w:t>七</w:t>
      </w:r>
      <w:r>
        <w:rPr>
          <w:rFonts w:hint="eastAsia" w:ascii="宋体" w:hAnsi="宋体"/>
          <w:b/>
          <w:szCs w:val="21"/>
        </w:rPr>
        <w:t xml:space="preserve">、验收  </w:t>
      </w:r>
    </w:p>
    <w:p>
      <w:pPr>
        <w:spacing w:line="360" w:lineRule="auto"/>
        <w:ind w:left="945" w:leftChars="200" w:hanging="525" w:hangingChars="250"/>
        <w:rPr>
          <w:rFonts w:hint="eastAsia" w:ascii="宋体" w:hAnsi="宋体"/>
          <w:szCs w:val="21"/>
        </w:rPr>
      </w:pPr>
      <w:r>
        <w:rPr>
          <w:rFonts w:hint="eastAsia" w:ascii="宋体" w:hAnsi="宋体"/>
          <w:szCs w:val="21"/>
          <w:lang w:val="en-US" w:eastAsia="zh-CN"/>
        </w:rPr>
        <w:t>7</w:t>
      </w:r>
      <w:r>
        <w:rPr>
          <w:rFonts w:hint="eastAsia" w:ascii="宋体" w:hAnsi="宋体"/>
          <w:szCs w:val="21"/>
        </w:rPr>
        <w:t>.1中标供应商应给出项目详细的验收方案，包括验收项目、验收标准，验收实施办法等。</w:t>
      </w:r>
    </w:p>
    <w:p>
      <w:pPr>
        <w:spacing w:line="360"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.2符合国家以及所投发电机组安装、调试规范要求。</w:t>
      </w:r>
    </w:p>
    <w:p>
      <w:pPr>
        <w:spacing w:line="360"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.3通过中山市环境保护局验收合格，验收费由中标供应商负责。</w:t>
      </w:r>
    </w:p>
    <w:p>
      <w:pPr>
        <w:spacing w:line="360"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.4国内生产的部件必须有国家有关部门的认证合格证，强制认证产品必须有3C认证。</w:t>
      </w:r>
    </w:p>
    <w:p>
      <w:pPr>
        <w:spacing w:line="360"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.5国外生产的部件必须有合法的进货渠道证明及原产地证明。</w:t>
      </w:r>
    </w:p>
    <w:p>
      <w:pPr>
        <w:spacing w:line="360"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.6验收由采购人、中标供应商及相关人员依国家有关标准/合同及有关的附件要求进行。</w:t>
      </w:r>
    </w:p>
    <w:p>
      <w:pPr>
        <w:spacing w:line="360"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.7验收完毕由采购人及中标供应商在验收报告上签名。</w:t>
      </w:r>
    </w:p>
    <w:p>
      <w:pPr>
        <w:spacing w:line="360" w:lineRule="auto"/>
        <w:rPr>
          <w:rFonts w:hint="eastAsia" w:ascii="宋体" w:hAnsi="宋体"/>
          <w:b/>
          <w:szCs w:val="21"/>
        </w:rPr>
      </w:pPr>
      <w:r>
        <w:rPr>
          <w:rFonts w:hint="eastAsia" w:ascii="宋体" w:hAnsi="宋体"/>
          <w:b/>
          <w:szCs w:val="21"/>
          <w:lang w:eastAsia="zh-CN"/>
        </w:rPr>
        <w:t>八</w:t>
      </w:r>
      <w:r>
        <w:rPr>
          <w:rFonts w:hint="eastAsia" w:ascii="宋体" w:hAnsi="宋体"/>
          <w:b/>
          <w:szCs w:val="21"/>
        </w:rPr>
        <w:t>、培训</w:t>
      </w:r>
    </w:p>
    <w:p>
      <w:pPr>
        <w:spacing w:line="360" w:lineRule="auto"/>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.1供应商应当提供免费的培训，直至用户有关技术人员掌握为止。中标供应商应提供培训服务，对操作和管理人员进行培训。</w:t>
      </w:r>
    </w:p>
    <w:p>
      <w:pPr>
        <w:spacing w:line="360" w:lineRule="auto"/>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.2供应商在投标文件中应提出详细的培训内容和培训计划。</w:t>
      </w:r>
    </w:p>
    <w:p>
      <w:pPr>
        <w:spacing w:line="360" w:lineRule="auto"/>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.3培训机组操作人员2名，达到熟练操作机组及日常保养技能。</w:t>
      </w:r>
    </w:p>
    <w:p>
      <w:pPr>
        <w:spacing w:line="360" w:lineRule="auto"/>
        <w:rPr>
          <w:rFonts w:hint="eastAsia" w:ascii="宋体" w:hAnsi="宋体"/>
          <w:b/>
          <w:szCs w:val="21"/>
        </w:rPr>
      </w:pPr>
      <w:r>
        <w:rPr>
          <w:rFonts w:hint="eastAsia" w:ascii="宋体" w:hAnsi="宋体"/>
          <w:b/>
          <w:szCs w:val="21"/>
          <w:lang w:eastAsia="zh-CN"/>
        </w:rPr>
        <w:t>九</w:t>
      </w:r>
      <w:r>
        <w:rPr>
          <w:rFonts w:hint="eastAsia" w:ascii="宋体" w:hAnsi="宋体"/>
          <w:b/>
          <w:szCs w:val="21"/>
        </w:rPr>
        <w:t>、质量保证及售后服务</w:t>
      </w:r>
    </w:p>
    <w:p>
      <w:pPr>
        <w:spacing w:line="360" w:lineRule="auto"/>
        <w:ind w:left="210" w:leftChars="100" w:firstLine="210" w:firstLineChars="100"/>
        <w:rPr>
          <w:rFonts w:hint="eastAsia" w:ascii="宋体" w:hAnsi="宋体"/>
          <w:szCs w:val="21"/>
        </w:rPr>
      </w:pPr>
      <w:r>
        <w:rPr>
          <w:rFonts w:hint="eastAsia" w:ascii="宋体" w:hAnsi="宋体"/>
          <w:szCs w:val="21"/>
          <w:lang w:val="en-US" w:eastAsia="zh-CN"/>
        </w:rPr>
        <w:t>9</w:t>
      </w:r>
      <w:r>
        <w:rPr>
          <w:rFonts w:hint="eastAsia" w:ascii="宋体" w:hAnsi="宋体"/>
          <w:szCs w:val="21"/>
        </w:rPr>
        <w:t>.1供应商必须提供目前市场上技术比较先进、成熟的原装、全新产品，并且符合国家以及该</w:t>
      </w:r>
    </w:p>
    <w:p>
      <w:pPr>
        <w:spacing w:line="360" w:lineRule="auto"/>
        <w:rPr>
          <w:rFonts w:hint="eastAsia" w:ascii="宋体" w:hAnsi="宋体"/>
          <w:szCs w:val="21"/>
        </w:rPr>
      </w:pPr>
      <w:r>
        <w:rPr>
          <w:rFonts w:hint="eastAsia" w:ascii="宋体" w:hAnsi="宋体"/>
          <w:szCs w:val="21"/>
        </w:rPr>
        <w:t>产品的出厂标准。</w:t>
      </w:r>
    </w:p>
    <w:p>
      <w:pPr>
        <w:spacing w:line="360" w:lineRule="auto"/>
        <w:ind w:left="210" w:leftChars="100" w:firstLine="210" w:firstLineChars="100"/>
        <w:rPr>
          <w:rFonts w:hint="eastAsia" w:ascii="宋体" w:hAnsi="宋体"/>
          <w:szCs w:val="21"/>
        </w:rPr>
      </w:pPr>
      <w:r>
        <w:rPr>
          <w:rFonts w:hint="eastAsia" w:ascii="宋体" w:hAnsi="宋体"/>
          <w:szCs w:val="21"/>
          <w:lang w:val="en-US" w:eastAsia="zh-CN"/>
        </w:rPr>
        <w:t>9</w:t>
      </w:r>
      <w:r>
        <w:rPr>
          <w:rFonts w:hint="eastAsia" w:ascii="宋体" w:hAnsi="宋体"/>
          <w:szCs w:val="21"/>
        </w:rPr>
        <w:t>.2供应商必须对所投机组提供机组合格证书（原件）。</w:t>
      </w:r>
    </w:p>
    <w:p>
      <w:pPr>
        <w:spacing w:line="360" w:lineRule="auto"/>
        <w:ind w:left="210" w:leftChars="100" w:firstLine="210" w:firstLineChars="100"/>
        <w:rPr>
          <w:rFonts w:hint="eastAsia" w:ascii="宋体" w:hAnsi="宋体"/>
          <w:szCs w:val="21"/>
          <w:highlight w:val="none"/>
        </w:rPr>
      </w:pPr>
      <w:r>
        <w:rPr>
          <w:rFonts w:hint="eastAsia" w:ascii="宋体" w:hAnsi="宋体"/>
          <w:szCs w:val="21"/>
          <w:lang w:val="en-US" w:eastAsia="zh-CN"/>
        </w:rPr>
        <w:t>9</w:t>
      </w:r>
      <w:r>
        <w:rPr>
          <w:rFonts w:hint="eastAsia" w:ascii="宋体" w:hAnsi="宋体"/>
          <w:szCs w:val="21"/>
        </w:rPr>
        <w:t>.3</w:t>
      </w:r>
      <w:r>
        <w:rPr>
          <w:rFonts w:hint="eastAsia" w:ascii="宋体" w:hAnsi="宋体"/>
          <w:szCs w:val="21"/>
          <w:highlight w:val="none"/>
        </w:rPr>
        <w:t>供应商投标人必须提供整机质量保修1年或累计运行2000小时（时间先到之一终止）。</w:t>
      </w:r>
    </w:p>
    <w:p>
      <w:pPr>
        <w:spacing w:line="360" w:lineRule="auto"/>
        <w:ind w:left="210" w:leftChars="100" w:firstLine="210" w:firstLineChars="100"/>
        <w:rPr>
          <w:rFonts w:hint="eastAsia" w:ascii="宋体" w:hAnsi="宋体"/>
          <w:szCs w:val="21"/>
        </w:rPr>
      </w:pPr>
      <w:r>
        <w:rPr>
          <w:rFonts w:hint="eastAsia" w:ascii="宋体" w:hAnsi="宋体"/>
          <w:szCs w:val="21"/>
          <w:lang w:val="en-US" w:eastAsia="zh-CN"/>
        </w:rPr>
        <w:t>9</w:t>
      </w:r>
      <w:r>
        <w:rPr>
          <w:rFonts w:hint="eastAsia" w:ascii="宋体" w:hAnsi="宋体"/>
          <w:szCs w:val="21"/>
        </w:rPr>
        <w:t>.4供应商必须提供制造厂有效三包条例证书。</w:t>
      </w:r>
    </w:p>
    <w:p>
      <w:pPr>
        <w:spacing w:line="360" w:lineRule="auto"/>
        <w:ind w:left="210" w:leftChars="100" w:firstLine="210" w:firstLineChars="100"/>
        <w:rPr>
          <w:rFonts w:hint="eastAsia" w:ascii="宋体" w:hAnsi="宋体"/>
          <w:szCs w:val="21"/>
        </w:rPr>
      </w:pPr>
      <w:r>
        <w:rPr>
          <w:rFonts w:hint="eastAsia" w:ascii="宋体" w:hAnsi="宋体"/>
          <w:szCs w:val="21"/>
          <w:lang w:val="en-US" w:eastAsia="zh-CN"/>
        </w:rPr>
        <w:t>9</w:t>
      </w:r>
      <w:r>
        <w:rPr>
          <w:rFonts w:hint="eastAsia" w:ascii="宋体" w:hAnsi="宋体"/>
          <w:szCs w:val="21"/>
        </w:rPr>
        <w:t>.5在中山市地区具备完善的维修服务队伍，常年提供快捷的专业保养及维修服务，须在接到</w:t>
      </w:r>
    </w:p>
    <w:p>
      <w:pPr>
        <w:spacing w:line="360" w:lineRule="auto"/>
        <w:rPr>
          <w:rFonts w:hint="eastAsia" w:ascii="宋体" w:hAnsi="宋体"/>
          <w:szCs w:val="21"/>
        </w:rPr>
      </w:pPr>
      <w:r>
        <w:rPr>
          <w:rFonts w:hint="eastAsia" w:ascii="宋体" w:hAnsi="宋体"/>
          <w:szCs w:val="21"/>
        </w:rPr>
        <w:t>机组故障通知书2小时内有能力派遣人员抵达机房现场处理。</w:t>
      </w:r>
    </w:p>
    <w:p>
      <w:pPr>
        <w:spacing w:line="360" w:lineRule="auto"/>
        <w:ind w:left="210" w:leftChars="100" w:firstLine="210" w:firstLineChars="100"/>
        <w:rPr>
          <w:rFonts w:hint="eastAsia" w:ascii="宋体" w:hAnsi="宋体"/>
          <w:szCs w:val="21"/>
        </w:rPr>
      </w:pPr>
      <w:r>
        <w:rPr>
          <w:rFonts w:hint="eastAsia" w:ascii="宋体" w:hAnsi="宋体"/>
          <w:szCs w:val="21"/>
          <w:lang w:val="en-US" w:eastAsia="zh-CN"/>
        </w:rPr>
        <w:t>9</w:t>
      </w:r>
      <w:r>
        <w:rPr>
          <w:rFonts w:hint="eastAsia" w:ascii="宋体" w:hAnsi="宋体"/>
          <w:szCs w:val="21"/>
        </w:rPr>
        <w:t>.6供应商应当由优秀的可随时上门做检查及维修的工程技术人员。设备出现故障时最迟能在2</w:t>
      </w:r>
    </w:p>
    <w:p>
      <w:pPr>
        <w:spacing w:line="360" w:lineRule="auto"/>
        <w:rPr>
          <w:rFonts w:hint="eastAsia" w:ascii="宋体" w:hAnsi="宋体"/>
          <w:szCs w:val="21"/>
        </w:rPr>
      </w:pPr>
      <w:r>
        <w:rPr>
          <w:rFonts w:hint="eastAsia" w:ascii="宋体" w:hAnsi="宋体"/>
          <w:szCs w:val="21"/>
        </w:rPr>
        <w:t>小时内上门维修。</w:t>
      </w:r>
    </w:p>
    <w:p>
      <w:pPr>
        <w:spacing w:line="360" w:lineRule="auto"/>
        <w:rPr>
          <w:rFonts w:hint="eastAsia" w:ascii="宋体" w:hAnsi="宋体"/>
          <w:b/>
          <w:szCs w:val="21"/>
        </w:rPr>
      </w:pPr>
      <w:r>
        <w:rPr>
          <w:rFonts w:hint="eastAsia" w:ascii="宋体" w:hAnsi="宋体"/>
          <w:b/>
          <w:szCs w:val="21"/>
        </w:rPr>
        <w:t>十、技术质量</w:t>
      </w:r>
    </w:p>
    <w:p>
      <w:pPr>
        <w:spacing w:line="360" w:lineRule="auto"/>
        <w:ind w:firstLine="415" w:firstLineChars="198"/>
        <w:rPr>
          <w:rFonts w:hint="eastAsia" w:ascii="宋体" w:hAnsi="宋体"/>
          <w:szCs w:val="21"/>
        </w:rPr>
      </w:pPr>
      <w:r>
        <w:rPr>
          <w:rFonts w:hint="eastAsia" w:ascii="宋体" w:hAnsi="宋体"/>
          <w:szCs w:val="21"/>
          <w:lang w:val="en-US" w:eastAsia="zh-CN"/>
        </w:rPr>
        <w:t>10</w:t>
      </w:r>
      <w:r>
        <w:rPr>
          <w:rFonts w:hint="eastAsia" w:ascii="宋体" w:hAnsi="宋体"/>
          <w:szCs w:val="21"/>
        </w:rPr>
        <w:t>.1中标供应商应于验收后向用户提供验收报告、技术文档的归档、整理、提交、并提供完整的货物技术资料。</w:t>
      </w:r>
    </w:p>
    <w:p>
      <w:pPr>
        <w:spacing w:line="360" w:lineRule="auto"/>
        <w:ind w:firstLine="415" w:firstLineChars="198"/>
        <w:rPr>
          <w:rFonts w:ascii="Arial" w:hAnsi="Arial"/>
          <w:color w:val="auto"/>
          <w:highlight w:val="none"/>
        </w:rPr>
      </w:pPr>
      <w:r>
        <w:rPr>
          <w:rFonts w:hint="eastAsia" w:ascii="宋体" w:hAnsi="宋体"/>
          <w:szCs w:val="21"/>
          <w:lang w:val="en-US" w:eastAsia="zh-CN"/>
        </w:rPr>
        <w:t>10</w:t>
      </w:r>
      <w:r>
        <w:rPr>
          <w:rFonts w:hint="eastAsia" w:ascii="宋体" w:hAnsi="宋体"/>
          <w:szCs w:val="21"/>
        </w:rPr>
        <w:t>.2技术文件：包括验收报告、技术文档、完整的货物技术资料。</w:t>
      </w:r>
    </w:p>
    <w:p>
      <w:pPr>
        <w:tabs>
          <w:tab w:val="left" w:pos="424"/>
          <w:tab w:val="left" w:pos="720"/>
          <w:tab w:val="left" w:pos="848"/>
        </w:tabs>
        <w:spacing w:line="460" w:lineRule="exact"/>
        <w:rPr>
          <w:rFonts w:ascii="宋体" w:hAnsi="宋体" w:cs="宋体"/>
          <w:b/>
          <w:bCs/>
          <w:color w:val="auto"/>
          <w:kern w:val="2"/>
          <w:szCs w:val="21"/>
          <w:highlight w:val="none"/>
        </w:rPr>
      </w:pPr>
      <w:bookmarkStart w:id="17" w:name="_Toc351036532"/>
      <w:bookmarkStart w:id="18" w:name="_Toc311719200"/>
      <w:bookmarkStart w:id="19" w:name="_Toc255308280"/>
      <w:bookmarkStart w:id="20" w:name="_Toc279651610"/>
      <w:bookmarkStart w:id="21" w:name="_Toc188694448"/>
      <w:bookmarkStart w:id="22" w:name="_Toc262132076"/>
      <w:bookmarkStart w:id="23" w:name="_Toc194309492"/>
      <w:bookmarkStart w:id="24" w:name="_Toc289327111"/>
      <w:bookmarkStart w:id="25" w:name="_Toc343618065"/>
      <w:bookmarkStart w:id="26" w:name="_Toc353458408"/>
      <w:bookmarkStart w:id="27" w:name="_Toc343617969"/>
      <w:bookmarkStart w:id="28" w:name="_Toc321901266"/>
      <w:bookmarkStart w:id="29" w:name="_Toc187843144"/>
      <w:bookmarkStart w:id="30" w:name="_Toc364176955"/>
      <w:r>
        <w:rPr>
          <w:rFonts w:hint="eastAsia" w:ascii="宋体" w:hAnsi="宋体" w:cs="宋体"/>
          <w:b/>
          <w:bCs/>
          <w:color w:val="auto"/>
          <w:kern w:val="2"/>
          <w:szCs w:val="21"/>
          <w:highlight w:val="none"/>
          <w:lang w:eastAsia="zh-CN"/>
        </w:rPr>
        <w:t>十一</w:t>
      </w:r>
      <w:r>
        <w:rPr>
          <w:rFonts w:hint="eastAsia" w:ascii="宋体" w:hAnsi="宋体" w:cs="宋体"/>
          <w:b/>
          <w:bCs/>
          <w:color w:val="auto"/>
          <w:kern w:val="2"/>
          <w:szCs w:val="21"/>
          <w:highlight w:val="none"/>
        </w:rPr>
        <w:t>、交付使用时间及交货地点要求</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widowControl w:val="0"/>
        <w:numPr>
          <w:ilvl w:val="0"/>
          <w:numId w:val="0"/>
        </w:numPr>
        <w:tabs>
          <w:tab w:val="left" w:pos="742"/>
        </w:tabs>
        <w:spacing w:line="460" w:lineRule="exact"/>
        <w:ind w:left="212" w:leftChars="0" w:firstLine="210" w:firstLineChars="100"/>
        <w:jc w:val="both"/>
        <w:rPr>
          <w:rFonts w:ascii="Arial" w:hAnsi="Arial"/>
          <w:b/>
          <w:bCs/>
          <w:color w:val="auto"/>
          <w:highlight w:val="none"/>
        </w:rPr>
      </w:pPr>
      <w:r>
        <w:rPr>
          <w:rFonts w:hint="eastAsia" w:ascii="Arial" w:hAnsi="Arial"/>
          <w:color w:val="auto"/>
          <w:highlight w:val="none"/>
          <w:lang w:val="en-US" w:eastAsia="zh-CN"/>
        </w:rPr>
        <w:t xml:space="preserve">11.1 </w:t>
      </w:r>
      <w:r>
        <w:rPr>
          <w:rFonts w:ascii="Arial" w:hAnsi="Arial"/>
          <w:color w:val="auto"/>
          <w:highlight w:val="none"/>
        </w:rPr>
        <w:t>交付使用</w:t>
      </w:r>
      <w:r>
        <w:rPr>
          <w:rFonts w:hint="eastAsia" w:ascii="Arial" w:hAnsi="Arial"/>
          <w:color w:val="auto"/>
          <w:highlight w:val="none"/>
        </w:rPr>
        <w:t>时间：</w:t>
      </w:r>
      <w:r>
        <w:rPr>
          <w:rFonts w:hint="eastAsia" w:ascii="宋体" w:hAnsi="宋体" w:cs="宋体"/>
          <w:color w:val="auto"/>
          <w:szCs w:val="21"/>
          <w:highlight w:val="none"/>
        </w:rPr>
        <w:t>签订合同之日起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个</w:t>
      </w:r>
      <w:r>
        <w:rPr>
          <w:rFonts w:hint="eastAsia" w:ascii="宋体" w:hAnsi="宋体" w:cs="宋体"/>
          <w:color w:val="auto"/>
          <w:szCs w:val="21"/>
          <w:highlight w:val="none"/>
        </w:rPr>
        <w:t>日历天</w:t>
      </w:r>
      <w:r>
        <w:rPr>
          <w:rFonts w:hint="eastAsia" w:ascii="宋体"/>
          <w:color w:val="auto"/>
          <w:highlight w:val="none"/>
        </w:rPr>
        <w:t>。</w:t>
      </w:r>
    </w:p>
    <w:p>
      <w:pPr>
        <w:widowControl w:val="0"/>
        <w:numPr>
          <w:ilvl w:val="0"/>
          <w:numId w:val="0"/>
        </w:numPr>
        <w:tabs>
          <w:tab w:val="left" w:pos="742"/>
        </w:tabs>
        <w:spacing w:line="460" w:lineRule="exact"/>
        <w:ind w:left="212" w:leftChars="0" w:firstLine="210" w:firstLineChars="100"/>
        <w:jc w:val="both"/>
        <w:rPr>
          <w:bCs/>
          <w:color w:val="auto"/>
          <w:szCs w:val="21"/>
          <w:highlight w:val="none"/>
        </w:rPr>
      </w:pPr>
      <w:r>
        <w:rPr>
          <w:rFonts w:hint="eastAsia" w:ascii="Arial" w:hAnsi="Arial"/>
          <w:color w:val="auto"/>
          <w:highlight w:val="none"/>
          <w:lang w:val="en-US" w:eastAsia="zh-CN"/>
        </w:rPr>
        <w:t xml:space="preserve">11.2 </w:t>
      </w:r>
      <w:r>
        <w:rPr>
          <w:rFonts w:hint="eastAsia" w:ascii="Arial" w:hAnsi="Arial"/>
          <w:color w:val="auto"/>
          <w:highlight w:val="none"/>
        </w:rPr>
        <w:t>交货地点：</w:t>
      </w:r>
      <w:r>
        <w:rPr>
          <w:rFonts w:hint="eastAsia" w:ascii="宋体" w:hAnsi="宋体" w:cs="宋体"/>
          <w:color w:val="auto"/>
          <w:kern w:val="28"/>
          <w:szCs w:val="21"/>
          <w:highlight w:val="none"/>
          <w:lang w:eastAsia="zh-CN"/>
        </w:rPr>
        <w:t>中山市坦洲镇政府大院</w:t>
      </w:r>
      <w:r>
        <w:rPr>
          <w:rFonts w:hint="eastAsia" w:ascii="Arial" w:hAnsi="Arial"/>
          <w:color w:val="auto"/>
          <w:highlight w:val="none"/>
        </w:rPr>
        <w:t>。</w:t>
      </w:r>
    </w:p>
    <w:p>
      <w:pPr>
        <w:numPr>
          <w:ilvl w:val="0"/>
          <w:numId w:val="0"/>
        </w:numPr>
        <w:tabs>
          <w:tab w:val="left" w:pos="424"/>
          <w:tab w:val="left" w:pos="720"/>
          <w:tab w:val="left" w:pos="848"/>
        </w:tabs>
        <w:spacing w:line="460" w:lineRule="exact"/>
        <w:rPr>
          <w:rFonts w:ascii="宋体" w:hAnsi="宋体" w:cs="宋体"/>
          <w:b/>
          <w:bCs/>
          <w:color w:val="auto"/>
          <w:kern w:val="2"/>
          <w:szCs w:val="21"/>
          <w:highlight w:val="none"/>
        </w:rPr>
      </w:pPr>
      <w:r>
        <w:rPr>
          <w:rFonts w:hint="eastAsia" w:ascii="宋体" w:hAnsi="宋体" w:cs="宋体"/>
          <w:b/>
          <w:bCs/>
          <w:color w:val="auto"/>
          <w:kern w:val="2"/>
          <w:szCs w:val="21"/>
          <w:highlight w:val="none"/>
          <w:lang w:eastAsia="zh-CN"/>
        </w:rPr>
        <w:t>十二、</w:t>
      </w:r>
      <w:r>
        <w:rPr>
          <w:rFonts w:hint="eastAsia" w:ascii="宋体" w:hAnsi="宋体" w:cs="宋体"/>
          <w:b/>
          <w:bCs/>
          <w:color w:val="auto"/>
          <w:kern w:val="2"/>
          <w:szCs w:val="21"/>
          <w:highlight w:val="none"/>
        </w:rPr>
        <w:t>付款方式</w:t>
      </w:r>
      <w:r>
        <w:rPr>
          <w:rFonts w:ascii="宋体" w:hAnsi="宋体" w:cs="宋体"/>
          <w:b/>
          <w:bCs/>
          <w:color w:val="auto"/>
          <w:kern w:val="2"/>
          <w:szCs w:val="21"/>
          <w:highlight w:val="none"/>
        </w:rPr>
        <w:t>：</w:t>
      </w:r>
    </w:p>
    <w:p>
      <w:pPr>
        <w:numPr>
          <w:ilvl w:val="0"/>
          <w:numId w:val="0"/>
        </w:numPr>
        <w:tabs>
          <w:tab w:val="left" w:pos="420"/>
        </w:tabs>
        <w:autoSpaceDE w:val="0"/>
        <w:autoSpaceDN w:val="0"/>
        <w:spacing w:line="360" w:lineRule="auto"/>
        <w:ind w:right="-53" w:rightChars="0" w:firstLine="420" w:firstLineChars="200"/>
        <w:textAlignment w:val="bottom"/>
        <w:rPr>
          <w:rFonts w:hint="eastAsia" w:ascii="宋体"/>
          <w:color w:val="auto"/>
          <w:szCs w:val="21"/>
          <w:highlight w:val="none"/>
        </w:rPr>
      </w:pPr>
      <w:r>
        <w:rPr>
          <w:rFonts w:hint="eastAsia" w:ascii="宋体"/>
          <w:color w:val="auto"/>
          <w:szCs w:val="21"/>
          <w:highlight w:val="none"/>
          <w:lang w:val="en-US" w:eastAsia="zh-CN"/>
        </w:rPr>
        <w:t xml:space="preserve">12.1 </w:t>
      </w:r>
      <w:r>
        <w:rPr>
          <w:rFonts w:hint="eastAsia" w:ascii="宋体"/>
          <w:color w:val="auto"/>
          <w:szCs w:val="21"/>
          <w:highlight w:val="none"/>
        </w:rPr>
        <w:t>首期款：设备安装调试结束，提交全部报告材料，调试完成并验收合格后</w:t>
      </w:r>
      <w:r>
        <w:rPr>
          <w:rFonts w:hint="eastAsia" w:ascii="宋体"/>
          <w:color w:val="auto"/>
          <w:szCs w:val="21"/>
          <w:highlight w:val="none"/>
          <w:lang w:val="en-US" w:eastAsia="zh-CN"/>
        </w:rPr>
        <w:t>10</w:t>
      </w:r>
      <w:r>
        <w:rPr>
          <w:rFonts w:hint="eastAsia" w:ascii="宋体"/>
          <w:color w:val="auto"/>
          <w:szCs w:val="21"/>
          <w:highlight w:val="none"/>
        </w:rPr>
        <w:t>个工作日内支付合同总价的 95 %；</w:t>
      </w:r>
    </w:p>
    <w:p>
      <w:pPr>
        <w:numPr>
          <w:ilvl w:val="0"/>
          <w:numId w:val="0"/>
        </w:numPr>
        <w:tabs>
          <w:tab w:val="left" w:pos="420"/>
        </w:tabs>
        <w:autoSpaceDE w:val="0"/>
        <w:autoSpaceDN w:val="0"/>
        <w:spacing w:line="360" w:lineRule="auto"/>
        <w:ind w:leftChars="0" w:right="-53" w:rightChars="0" w:firstLine="420" w:firstLineChars="200"/>
        <w:textAlignment w:val="bottom"/>
        <w:rPr>
          <w:rFonts w:ascii="宋体" w:hAnsi="宋体" w:cs="宋体"/>
          <w:b/>
          <w:bCs/>
          <w:color w:val="auto"/>
          <w:kern w:val="2"/>
          <w:szCs w:val="21"/>
          <w:highlight w:val="yellow"/>
        </w:rPr>
      </w:pPr>
      <w:r>
        <w:rPr>
          <w:rFonts w:hint="eastAsia" w:ascii="宋体"/>
          <w:color w:val="auto"/>
          <w:szCs w:val="21"/>
          <w:highlight w:val="none"/>
          <w:lang w:val="en-US" w:eastAsia="zh-CN"/>
        </w:rPr>
        <w:t xml:space="preserve">12.2 </w:t>
      </w:r>
      <w:r>
        <w:rPr>
          <w:rFonts w:hint="eastAsia" w:ascii="宋体"/>
          <w:color w:val="auto"/>
          <w:szCs w:val="21"/>
          <w:highlight w:val="none"/>
        </w:rPr>
        <w:t>质保金：从验收合格之日起，正常使用</w:t>
      </w:r>
      <w:r>
        <w:rPr>
          <w:rFonts w:hint="eastAsia" w:ascii="宋体"/>
          <w:color w:val="auto"/>
          <w:szCs w:val="21"/>
          <w:highlight w:val="none"/>
          <w:lang w:val="en-US" w:eastAsia="zh-CN"/>
        </w:rPr>
        <w:t>3个月</w:t>
      </w:r>
      <w:r>
        <w:rPr>
          <w:rFonts w:hint="eastAsia" w:ascii="宋体"/>
          <w:color w:val="auto"/>
          <w:szCs w:val="21"/>
          <w:highlight w:val="none"/>
        </w:rPr>
        <w:t>后在无发现重大问题的情况下支付合同总价的 5 %。</w:t>
      </w:r>
    </w:p>
    <w:p>
      <w:pPr>
        <w:pStyle w:val="2"/>
        <w:rPr>
          <w:color w:val="auto"/>
          <w:highlight w:val="none"/>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2"/>
        <w:rPr>
          <w:color w:val="auto"/>
          <w:highlight w:val="none"/>
          <w:lang w:val="zh-CN"/>
        </w:rPr>
      </w:pPr>
    </w:p>
    <w:p>
      <w:pPr>
        <w:pStyle w:val="2"/>
        <w:rPr>
          <w:color w:val="auto"/>
          <w:highlight w:val="none"/>
          <w:lang w:val="zh-CN"/>
        </w:rPr>
      </w:pPr>
    </w:p>
    <w:p>
      <w:pPr>
        <w:pStyle w:val="53"/>
        <w:ind w:firstLine="240"/>
        <w:rPr>
          <w:color w:val="auto"/>
          <w:highlight w:val="none"/>
          <w:lang w:val="zh-CN"/>
        </w:rPr>
      </w:pPr>
    </w:p>
    <w:p>
      <w:pPr>
        <w:pStyle w:val="53"/>
        <w:ind w:firstLine="240"/>
        <w:rPr>
          <w:color w:val="auto"/>
          <w:highlight w:val="none"/>
          <w:lang w:val="zh-CN"/>
        </w:rPr>
      </w:pPr>
    </w:p>
    <w:p>
      <w:pPr>
        <w:pStyle w:val="53"/>
        <w:ind w:firstLine="240"/>
        <w:rPr>
          <w:color w:val="auto"/>
          <w:highlight w:val="none"/>
          <w:lang w:val="zh-CN"/>
        </w:rPr>
      </w:pPr>
    </w:p>
    <w:p>
      <w:pPr>
        <w:rPr>
          <w:color w:val="auto"/>
          <w:highlight w:val="none"/>
          <w:lang w:val="zh-CN"/>
        </w:rPr>
      </w:pPr>
    </w:p>
    <w:p>
      <w:pPr>
        <w:pStyle w:val="3"/>
        <w:jc w:val="center"/>
        <w:rPr>
          <w:rFonts w:ascii="黑体" w:hAnsi="黑体" w:eastAsia="黑体" w:cs="宋体"/>
          <w:bCs/>
          <w:color w:val="auto"/>
          <w:kern w:val="2"/>
          <w:sz w:val="44"/>
          <w:szCs w:val="44"/>
          <w:highlight w:val="none"/>
          <w:lang w:val="zh-CN"/>
        </w:rPr>
      </w:pPr>
      <w:r>
        <w:rPr>
          <w:rFonts w:hint="eastAsia" w:ascii="黑体" w:hAnsi="黑体" w:eastAsia="黑体" w:cs="宋体"/>
          <w:bCs/>
          <w:color w:val="auto"/>
          <w:kern w:val="2"/>
          <w:sz w:val="44"/>
          <w:szCs w:val="44"/>
          <w:highlight w:val="none"/>
          <w:lang w:val="zh-CN"/>
        </w:rPr>
        <w:t>第三部分投标人须知</w:t>
      </w:r>
      <w:bookmarkEnd w:id="16"/>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spacing w:line="360" w:lineRule="auto"/>
        <w:rPr>
          <w:rFonts w:ascii="宋体" w:cs="宋体"/>
          <w:bCs/>
          <w:color w:val="auto"/>
          <w:szCs w:val="21"/>
          <w:highlight w:val="none"/>
        </w:rPr>
        <w:sectPr>
          <w:headerReference r:id="rId6" w:type="default"/>
          <w:footerReference r:id="rId7" w:type="default"/>
          <w:pgSz w:w="11905" w:h="16838"/>
          <w:pgMar w:top="1417" w:right="1094" w:bottom="1417" w:left="1304" w:header="794" w:footer="794" w:gutter="0"/>
          <w:cols w:space="0" w:num="1"/>
        </w:sectPr>
      </w:pPr>
    </w:p>
    <w:p>
      <w:pPr>
        <w:spacing w:line="360" w:lineRule="auto"/>
        <w:jc w:val="center"/>
        <w:rPr>
          <w:rFonts w:ascii="宋体" w:cs="宋体"/>
          <w:b/>
          <w:color w:val="auto"/>
          <w:sz w:val="28"/>
          <w:szCs w:val="24"/>
          <w:highlight w:val="none"/>
        </w:rPr>
      </w:pPr>
      <w:bookmarkStart w:id="31" w:name="_Hlt14094356"/>
      <w:bookmarkEnd w:id="31"/>
      <w:r>
        <w:rPr>
          <w:rFonts w:hint="eastAsia" w:ascii="宋体" w:hAnsi="宋体" w:cs="宋体"/>
          <w:b/>
          <w:color w:val="auto"/>
          <w:sz w:val="28"/>
          <w:szCs w:val="24"/>
          <w:highlight w:val="none"/>
        </w:rPr>
        <w:t>第三部分投标人须知</w:t>
      </w:r>
    </w:p>
    <w:p>
      <w:pPr>
        <w:widowControl w:val="0"/>
        <w:adjustRightInd w:val="0"/>
        <w:snapToGrid w:val="0"/>
        <w:spacing w:line="360" w:lineRule="auto"/>
        <w:jc w:val="center"/>
        <w:rPr>
          <w:rFonts w:ascii="宋体" w:cs="宋体"/>
          <w:b/>
          <w:color w:val="auto"/>
          <w:kern w:val="2"/>
          <w:szCs w:val="21"/>
          <w:highlight w:val="none"/>
        </w:rPr>
      </w:pPr>
      <w:r>
        <w:rPr>
          <w:rFonts w:hint="eastAsia" w:ascii="宋体" w:hAnsi="宋体" w:cs="宋体"/>
          <w:b/>
          <w:color w:val="auto"/>
          <w:kern w:val="2"/>
          <w:szCs w:val="21"/>
          <w:highlight w:val="none"/>
        </w:rPr>
        <w:t>一、说明</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1</w:t>
      </w:r>
      <w:r>
        <w:rPr>
          <w:rFonts w:hint="eastAsia" w:ascii="宋体" w:hAnsi="宋体" w:cs="宋体"/>
          <w:b/>
          <w:color w:val="auto"/>
          <w:kern w:val="2"/>
          <w:szCs w:val="21"/>
          <w:highlight w:val="none"/>
        </w:rPr>
        <w:t>．适用范围</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 xml:space="preserve">1.1 </w:t>
      </w:r>
      <w:r>
        <w:rPr>
          <w:rFonts w:hint="eastAsia" w:ascii="宋体" w:hAnsi="宋体" w:cs="宋体"/>
          <w:color w:val="auto"/>
          <w:kern w:val="2"/>
          <w:szCs w:val="21"/>
          <w:highlight w:val="none"/>
        </w:rPr>
        <w:t>本招标文件适用于本投标邀请中所述项目的政府采购。</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 xml:space="preserve">2. </w:t>
      </w:r>
      <w:r>
        <w:rPr>
          <w:rFonts w:hint="eastAsia" w:ascii="宋体" w:hAnsi="宋体" w:cs="宋体"/>
          <w:b/>
          <w:color w:val="auto"/>
          <w:kern w:val="2"/>
          <w:szCs w:val="21"/>
          <w:highlight w:val="none"/>
        </w:rPr>
        <w:t>定义</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2.1</w:t>
      </w:r>
      <w:r>
        <w:rPr>
          <w:rFonts w:hint="eastAsia" w:ascii="宋体" w:hAnsi="宋体" w:cs="宋体"/>
          <w:color w:val="auto"/>
          <w:kern w:val="2"/>
          <w:szCs w:val="21"/>
          <w:highlight w:val="none"/>
        </w:rPr>
        <w:t>“采购人”是指：</w:t>
      </w:r>
      <w:r>
        <w:rPr>
          <w:rFonts w:hint="eastAsia" w:ascii="宋体" w:hAnsi="宋体" w:cs="宋体"/>
          <w:color w:val="auto"/>
          <w:kern w:val="2"/>
          <w:szCs w:val="21"/>
          <w:highlight w:val="none"/>
          <w:u w:val="single"/>
          <w:lang w:eastAsia="zh-CN"/>
        </w:rPr>
        <w:t>中山市坦洲镇集体资产经营有限公司</w:t>
      </w:r>
      <w:r>
        <w:rPr>
          <w:rFonts w:hint="eastAsia" w:ascii="宋体" w:hAnsi="宋体" w:cs="宋体"/>
          <w:color w:val="auto"/>
          <w:kern w:val="2"/>
          <w:szCs w:val="21"/>
          <w:highlight w:val="none"/>
        </w:rPr>
        <w:t>。</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2.2</w:t>
      </w:r>
      <w:r>
        <w:rPr>
          <w:rFonts w:hint="eastAsia" w:ascii="宋体" w:hAnsi="宋体" w:cs="宋体"/>
          <w:color w:val="auto"/>
          <w:kern w:val="2"/>
          <w:szCs w:val="21"/>
          <w:highlight w:val="none"/>
        </w:rPr>
        <w:t>“采购代理机构”是指：</w:t>
      </w:r>
      <w:r>
        <w:rPr>
          <w:rFonts w:hint="eastAsia" w:ascii="宋体" w:hAnsi="宋体" w:cs="宋体"/>
          <w:color w:val="auto"/>
          <w:kern w:val="2"/>
          <w:szCs w:val="21"/>
          <w:highlight w:val="none"/>
          <w:u w:val="single"/>
          <w:lang w:eastAsia="zh-CN"/>
        </w:rPr>
        <w:t>中山市建业建筑工程监理有限公司</w:t>
      </w:r>
      <w:r>
        <w:rPr>
          <w:rFonts w:hint="eastAsia" w:ascii="宋体" w:hAnsi="宋体" w:cs="宋体"/>
          <w:color w:val="auto"/>
          <w:kern w:val="2"/>
          <w:szCs w:val="21"/>
          <w:highlight w:val="none"/>
        </w:rPr>
        <w:t>。</w:t>
      </w:r>
    </w:p>
    <w:p>
      <w:pPr>
        <w:tabs>
          <w:tab w:val="left" w:pos="851"/>
        </w:tabs>
        <w:snapToGrid w:val="0"/>
        <w:spacing w:line="360" w:lineRule="auto"/>
        <w:ind w:left="422" w:hanging="422" w:hangingChars="201"/>
        <w:jc w:val="both"/>
        <w:rPr>
          <w:rFonts w:ascii="宋体" w:cs="宋体"/>
          <w:color w:val="auto"/>
          <w:szCs w:val="21"/>
          <w:highlight w:val="none"/>
        </w:rPr>
      </w:pPr>
      <w:r>
        <w:rPr>
          <w:rFonts w:ascii="宋体" w:hAnsi="宋体" w:cs="宋体"/>
          <w:color w:val="auto"/>
          <w:szCs w:val="21"/>
          <w:highlight w:val="none"/>
        </w:rPr>
        <w:t xml:space="preserve">2.3 </w:t>
      </w:r>
      <w:r>
        <w:rPr>
          <w:rFonts w:hint="eastAsia" w:ascii="宋体" w:hAnsi="宋体" w:cs="宋体"/>
          <w:color w:val="auto"/>
          <w:szCs w:val="21"/>
          <w:highlight w:val="none"/>
        </w:rPr>
        <w:t>合格的投标人</w:t>
      </w:r>
    </w:p>
    <w:p>
      <w:pPr>
        <w:tabs>
          <w:tab w:val="left" w:pos="851"/>
        </w:tabs>
        <w:snapToGrid w:val="0"/>
        <w:spacing w:line="360" w:lineRule="auto"/>
        <w:ind w:left="525" w:hanging="525" w:hangingChars="250"/>
        <w:jc w:val="both"/>
        <w:rPr>
          <w:rFonts w:ascii="宋体" w:cs="宋体"/>
          <w:color w:val="auto"/>
          <w:szCs w:val="21"/>
          <w:highlight w:val="none"/>
        </w:rPr>
      </w:pPr>
      <w:r>
        <w:rPr>
          <w:rFonts w:ascii="宋体" w:hAnsi="宋体" w:cs="宋体"/>
          <w:color w:val="auto"/>
          <w:szCs w:val="21"/>
          <w:highlight w:val="none"/>
        </w:rPr>
        <w:t>2.3.1</w:t>
      </w:r>
      <w:r>
        <w:rPr>
          <w:rFonts w:hint="eastAsia" w:ascii="宋体" w:hAnsi="宋体" w:cs="宋体"/>
          <w:snapToGrid w:val="0"/>
          <w:color w:val="auto"/>
          <w:szCs w:val="21"/>
          <w:highlight w:val="none"/>
        </w:rPr>
        <w:t>符合《政府采购法》第二十二条规定的供应商。</w:t>
      </w:r>
    </w:p>
    <w:p>
      <w:pPr>
        <w:tabs>
          <w:tab w:val="left" w:pos="851"/>
        </w:tabs>
        <w:snapToGrid w:val="0"/>
        <w:spacing w:line="360" w:lineRule="auto"/>
        <w:ind w:left="630" w:hanging="630" w:hangingChars="300"/>
        <w:jc w:val="both"/>
        <w:rPr>
          <w:rFonts w:ascii="宋体" w:cs="宋体"/>
          <w:color w:val="auto"/>
          <w:szCs w:val="21"/>
          <w:highlight w:val="none"/>
        </w:rPr>
      </w:pPr>
      <w:r>
        <w:rPr>
          <w:rFonts w:ascii="宋体" w:hAnsi="宋体" w:cs="宋体"/>
          <w:color w:val="auto"/>
          <w:szCs w:val="21"/>
          <w:highlight w:val="none"/>
        </w:rPr>
        <w:t>2.3.2</w:t>
      </w:r>
      <w:r>
        <w:rPr>
          <w:rFonts w:hint="eastAsia" w:ascii="宋体" w:hAnsi="宋体" w:cs="宋体"/>
          <w:color w:val="auto"/>
          <w:szCs w:val="21"/>
          <w:highlight w:val="none"/>
        </w:rPr>
        <w:t>除联合体外，彼此存在投资与被投资关系的，或彼此的经营者、董事会（或同类管理机构）成员属于直系亲属或配偶关系的，不接受作为参与本采购项目中同一包（组）竞争的供应商。</w:t>
      </w:r>
    </w:p>
    <w:p>
      <w:pPr>
        <w:tabs>
          <w:tab w:val="left" w:pos="851"/>
        </w:tabs>
        <w:snapToGrid w:val="0"/>
        <w:spacing w:line="360" w:lineRule="auto"/>
        <w:ind w:left="630" w:hanging="630" w:hangingChars="300"/>
        <w:jc w:val="both"/>
        <w:rPr>
          <w:rFonts w:ascii="宋体" w:cs="宋体"/>
          <w:color w:val="auto"/>
          <w:szCs w:val="21"/>
          <w:highlight w:val="none"/>
        </w:rPr>
      </w:pPr>
      <w:r>
        <w:rPr>
          <w:rFonts w:ascii="宋体" w:hAnsi="宋体" w:cs="宋体"/>
          <w:color w:val="auto"/>
          <w:szCs w:val="21"/>
          <w:highlight w:val="none"/>
        </w:rPr>
        <w:t>2.3.3</w:t>
      </w:r>
      <w:r>
        <w:rPr>
          <w:rFonts w:hint="eastAsia" w:ascii="宋体" w:hAnsi="宋体" w:cs="宋体"/>
          <w:color w:val="auto"/>
          <w:szCs w:val="21"/>
          <w:highlight w:val="none"/>
        </w:rPr>
        <w:t>除联合体外，单位负责人为同一人或者存在直接控股、管理关系的不同供应商，不得参加</w:t>
      </w:r>
      <w:r>
        <w:rPr>
          <w:rFonts w:hint="eastAsia" w:ascii="宋体" w:hAnsi="宋体" w:cs="宋体"/>
          <w:color w:val="auto"/>
          <w:highlight w:val="none"/>
        </w:rPr>
        <w:t>本项目或同一子项目</w:t>
      </w:r>
      <w:r>
        <w:rPr>
          <w:rFonts w:hint="eastAsia" w:ascii="宋体" w:hAnsi="宋体" w:cs="宋体"/>
          <w:color w:val="auto"/>
          <w:szCs w:val="21"/>
          <w:highlight w:val="none"/>
        </w:rPr>
        <w:t>的政府采购活动。</w:t>
      </w:r>
    </w:p>
    <w:p>
      <w:pPr>
        <w:tabs>
          <w:tab w:val="left" w:pos="851"/>
        </w:tabs>
        <w:snapToGrid w:val="0"/>
        <w:spacing w:line="360" w:lineRule="auto"/>
        <w:ind w:left="630" w:hanging="630" w:hangingChars="300"/>
        <w:jc w:val="both"/>
        <w:rPr>
          <w:rFonts w:ascii="宋体" w:cs="宋体"/>
          <w:color w:val="auto"/>
          <w:szCs w:val="21"/>
          <w:highlight w:val="none"/>
        </w:rPr>
      </w:pPr>
      <w:r>
        <w:rPr>
          <w:rFonts w:ascii="宋体" w:hAnsi="宋体" w:cs="宋体"/>
          <w:color w:val="auto"/>
          <w:szCs w:val="21"/>
          <w:highlight w:val="none"/>
        </w:rPr>
        <w:t>2.3.4</w:t>
      </w:r>
      <w:r>
        <w:rPr>
          <w:rFonts w:hint="eastAsia" w:ascii="宋体" w:hAnsi="宋体" w:cs="宋体"/>
          <w:color w:val="auto"/>
          <w:szCs w:val="21"/>
          <w:highlight w:val="none"/>
        </w:rPr>
        <w:t>除单一来源采购项目外，为采购项目提供整体设计、规范编制或者项目管理、</w:t>
      </w:r>
      <w:r>
        <w:rPr>
          <w:rFonts w:hint="eastAsia"/>
          <w:color w:val="auto"/>
          <w:szCs w:val="21"/>
          <w:highlight w:val="none"/>
        </w:rPr>
        <w:t>监理、</w:t>
      </w:r>
      <w:r>
        <w:rPr>
          <w:rFonts w:hint="eastAsia" w:ascii="宋体" w:hAnsi="宋体" w:cs="宋体"/>
          <w:color w:val="auto"/>
          <w:szCs w:val="21"/>
          <w:highlight w:val="none"/>
        </w:rPr>
        <w:t>检测等服务的供应商及附属机构，不得再参加该采购项目的其他采购活动。</w:t>
      </w:r>
    </w:p>
    <w:p>
      <w:pPr>
        <w:tabs>
          <w:tab w:val="left" w:pos="851"/>
        </w:tabs>
        <w:snapToGrid w:val="0"/>
        <w:spacing w:line="360" w:lineRule="auto"/>
        <w:ind w:left="735" w:hanging="735" w:hangingChars="350"/>
        <w:jc w:val="both"/>
        <w:rPr>
          <w:rFonts w:ascii="宋体" w:cs="宋体"/>
          <w:color w:val="auto"/>
          <w:szCs w:val="21"/>
          <w:highlight w:val="none"/>
        </w:rPr>
      </w:pPr>
      <w:r>
        <w:rPr>
          <w:rFonts w:ascii="宋体" w:hAnsi="宋体" w:cs="宋体"/>
          <w:color w:val="auto"/>
          <w:szCs w:val="21"/>
          <w:highlight w:val="none"/>
        </w:rPr>
        <w:t>2.3.5</w:t>
      </w:r>
      <w:r>
        <w:rPr>
          <w:rFonts w:hint="eastAsia" w:ascii="宋体" w:hAnsi="宋体" w:cs="宋体"/>
          <w:color w:val="auto"/>
          <w:szCs w:val="21"/>
          <w:highlight w:val="none"/>
        </w:rPr>
        <w:t>符合招标文件规定的资格要求及特殊条件要求。</w:t>
      </w:r>
    </w:p>
    <w:p>
      <w:pPr>
        <w:tabs>
          <w:tab w:val="left" w:pos="851"/>
        </w:tabs>
        <w:snapToGrid w:val="0"/>
        <w:spacing w:line="360" w:lineRule="auto"/>
        <w:ind w:left="735" w:hanging="735" w:hangingChars="350"/>
        <w:jc w:val="both"/>
        <w:rPr>
          <w:rFonts w:ascii="宋体" w:cs="宋体"/>
          <w:color w:val="auto"/>
          <w:szCs w:val="21"/>
          <w:highlight w:val="none"/>
        </w:rPr>
      </w:pPr>
      <w:r>
        <w:rPr>
          <w:rFonts w:ascii="宋体" w:hAnsi="宋体" w:cs="宋体"/>
          <w:color w:val="auto"/>
          <w:szCs w:val="21"/>
          <w:highlight w:val="none"/>
        </w:rPr>
        <w:t xml:space="preserve">2.4 </w:t>
      </w:r>
      <w:r>
        <w:rPr>
          <w:rFonts w:hint="eastAsia" w:ascii="宋体" w:hAnsi="宋体" w:cs="宋体"/>
          <w:color w:val="auto"/>
          <w:szCs w:val="21"/>
          <w:highlight w:val="none"/>
        </w:rPr>
        <w:t>“中标人”是指经法定程序确定并授予合同的投标人。</w:t>
      </w:r>
    </w:p>
    <w:p>
      <w:pPr>
        <w:tabs>
          <w:tab w:val="left" w:pos="851"/>
        </w:tabs>
        <w:snapToGrid w:val="0"/>
        <w:spacing w:line="360" w:lineRule="auto"/>
        <w:ind w:left="422" w:leftChars="1" w:hanging="420" w:hangingChars="200"/>
        <w:jc w:val="both"/>
        <w:rPr>
          <w:rFonts w:ascii="宋体" w:cs="宋体"/>
          <w:snapToGrid w:val="0"/>
          <w:color w:val="auto"/>
          <w:szCs w:val="21"/>
          <w:highlight w:val="none"/>
        </w:rPr>
      </w:pPr>
      <w:r>
        <w:rPr>
          <w:rFonts w:ascii="宋体" w:hAnsi="宋体" w:cs="宋体"/>
          <w:color w:val="auto"/>
          <w:szCs w:val="21"/>
          <w:highlight w:val="none"/>
        </w:rPr>
        <w:t xml:space="preserve">2.5 </w:t>
      </w:r>
      <w:r>
        <w:rPr>
          <w:rFonts w:hint="eastAsia" w:ascii="宋体" w:hAnsi="宋体" w:cs="宋体"/>
          <w:color w:val="auto"/>
          <w:szCs w:val="21"/>
          <w:highlight w:val="none"/>
        </w:rPr>
        <w:t>“评标委员会”是</w:t>
      </w:r>
      <w:r>
        <w:rPr>
          <w:rFonts w:hint="eastAsia" w:ascii="宋体" w:hAnsi="宋体" w:cs="宋体"/>
          <w:snapToGrid w:val="0"/>
          <w:color w:val="auto"/>
          <w:szCs w:val="21"/>
          <w:highlight w:val="none"/>
        </w:rPr>
        <w:t>评标委员会是依照《中华人民共和国政府采购法》及有关法规组建的专门负责本次采购评标工作的临时性机构（其成员称为评委）。</w:t>
      </w:r>
    </w:p>
    <w:p>
      <w:pPr>
        <w:tabs>
          <w:tab w:val="left" w:pos="851"/>
        </w:tabs>
        <w:snapToGrid w:val="0"/>
        <w:spacing w:line="360" w:lineRule="auto"/>
        <w:ind w:left="525" w:hanging="525" w:hangingChars="250"/>
        <w:jc w:val="both"/>
        <w:rPr>
          <w:rFonts w:ascii="宋体" w:cs="宋体"/>
          <w:color w:val="auto"/>
          <w:szCs w:val="21"/>
          <w:highlight w:val="none"/>
        </w:rPr>
      </w:pPr>
      <w:r>
        <w:rPr>
          <w:rFonts w:ascii="宋体" w:hAnsi="宋体" w:cs="宋体"/>
          <w:color w:val="auto"/>
          <w:szCs w:val="21"/>
          <w:highlight w:val="none"/>
        </w:rPr>
        <w:t xml:space="preserve">2.6 </w:t>
      </w:r>
      <w:r>
        <w:rPr>
          <w:rFonts w:hint="eastAsia" w:ascii="宋体" w:hAnsi="宋体" w:cs="宋体"/>
          <w:color w:val="auto"/>
          <w:szCs w:val="21"/>
          <w:highlight w:val="none"/>
        </w:rPr>
        <w:t>“日期”是指公历日。</w:t>
      </w:r>
    </w:p>
    <w:p>
      <w:pPr>
        <w:tabs>
          <w:tab w:val="left" w:pos="851"/>
        </w:tabs>
        <w:snapToGrid w:val="0"/>
        <w:spacing w:line="360" w:lineRule="auto"/>
        <w:ind w:left="422" w:hanging="422" w:hangingChars="201"/>
        <w:jc w:val="both"/>
        <w:rPr>
          <w:rFonts w:ascii="宋体" w:cs="宋体"/>
          <w:color w:val="auto"/>
          <w:szCs w:val="21"/>
          <w:highlight w:val="none"/>
        </w:rPr>
      </w:pPr>
      <w:r>
        <w:rPr>
          <w:rFonts w:ascii="宋体" w:hAnsi="宋体" w:cs="宋体"/>
          <w:color w:val="auto"/>
          <w:szCs w:val="21"/>
          <w:highlight w:val="none"/>
        </w:rPr>
        <w:t xml:space="preserve">2.7 </w:t>
      </w:r>
      <w:r>
        <w:rPr>
          <w:rFonts w:hint="eastAsia" w:ascii="宋体" w:hAnsi="宋体" w:cs="宋体"/>
          <w:color w:val="auto"/>
          <w:szCs w:val="21"/>
          <w:highlight w:val="none"/>
        </w:rPr>
        <w:t>“时间”是指每天</w:t>
      </w:r>
      <w:r>
        <w:rPr>
          <w:rFonts w:ascii="宋体" w:hAnsi="宋体" w:cs="宋体"/>
          <w:color w:val="auto"/>
          <w:szCs w:val="21"/>
          <w:highlight w:val="none"/>
        </w:rPr>
        <w:t>24</w:t>
      </w:r>
      <w:r>
        <w:rPr>
          <w:rFonts w:hint="eastAsia" w:ascii="宋体" w:hAnsi="宋体" w:cs="宋体"/>
          <w:color w:val="auto"/>
          <w:szCs w:val="21"/>
          <w:highlight w:val="none"/>
        </w:rPr>
        <w:t>小时制。</w:t>
      </w:r>
    </w:p>
    <w:p>
      <w:pPr>
        <w:tabs>
          <w:tab w:val="left" w:pos="851"/>
        </w:tabs>
        <w:snapToGrid w:val="0"/>
        <w:spacing w:line="360" w:lineRule="auto"/>
        <w:ind w:left="422" w:hanging="422" w:hangingChars="201"/>
        <w:jc w:val="both"/>
        <w:rPr>
          <w:rFonts w:ascii="宋体" w:cs="宋体"/>
          <w:color w:val="auto"/>
          <w:szCs w:val="21"/>
          <w:highlight w:val="none"/>
        </w:rPr>
      </w:pPr>
      <w:r>
        <w:rPr>
          <w:rFonts w:ascii="宋体" w:hAnsi="宋体" w:cs="宋体"/>
          <w:color w:val="auto"/>
          <w:szCs w:val="21"/>
          <w:highlight w:val="none"/>
        </w:rPr>
        <w:t xml:space="preserve">2.8 </w:t>
      </w:r>
      <w:r>
        <w:rPr>
          <w:rFonts w:hint="eastAsia" w:ascii="宋体" w:hAnsi="宋体" w:cs="宋体"/>
          <w:color w:val="auto"/>
          <w:szCs w:val="21"/>
          <w:highlight w:val="none"/>
        </w:rPr>
        <w:t>“合同”是指由本次招标所产生的合同或合约文件。</w:t>
      </w:r>
    </w:p>
    <w:p>
      <w:pPr>
        <w:tabs>
          <w:tab w:val="left" w:pos="851"/>
        </w:tabs>
        <w:snapToGrid w:val="0"/>
        <w:spacing w:line="360" w:lineRule="auto"/>
        <w:ind w:left="2"/>
        <w:jc w:val="both"/>
        <w:rPr>
          <w:rFonts w:ascii="宋体" w:cs="宋体"/>
          <w:color w:val="auto"/>
          <w:szCs w:val="21"/>
          <w:highlight w:val="none"/>
        </w:rPr>
      </w:pPr>
      <w:r>
        <w:rPr>
          <w:rFonts w:ascii="宋体" w:hAnsi="宋体" w:cs="宋体"/>
          <w:color w:val="auto"/>
          <w:szCs w:val="21"/>
          <w:highlight w:val="none"/>
        </w:rPr>
        <w:t xml:space="preserve">2.9 </w:t>
      </w:r>
      <w:r>
        <w:rPr>
          <w:rFonts w:hint="eastAsia" w:ascii="宋体" w:hAnsi="宋体" w:cs="宋体"/>
          <w:color w:val="auto"/>
          <w:szCs w:val="21"/>
          <w:highlight w:val="none"/>
        </w:rPr>
        <w:t>招标文件中的标题或题名仅起引导作用，而不应视为对招标文件内容的理解和解释。</w:t>
      </w:r>
    </w:p>
    <w:p>
      <w:pPr>
        <w:tabs>
          <w:tab w:val="left" w:pos="851"/>
        </w:tabs>
        <w:snapToGrid w:val="0"/>
        <w:spacing w:line="360" w:lineRule="auto"/>
        <w:ind w:left="527" w:leftChars="1" w:hanging="525" w:hangingChars="250"/>
        <w:jc w:val="both"/>
        <w:rPr>
          <w:rFonts w:asci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招标文件中所规定的“书面形式”，包括纸质文件和电讯文件形式，既含手写的、打印或印刷的文字资料形式，也包括电报、传真等通讯形式文件。</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 xml:space="preserve">3. </w:t>
      </w:r>
      <w:r>
        <w:rPr>
          <w:rFonts w:hint="eastAsia" w:ascii="宋体" w:hAnsi="宋体" w:cs="宋体"/>
          <w:b/>
          <w:color w:val="auto"/>
          <w:kern w:val="2"/>
          <w:szCs w:val="21"/>
          <w:highlight w:val="none"/>
        </w:rPr>
        <w:t>合格的货物和服务</w:t>
      </w:r>
    </w:p>
    <w:p>
      <w:pPr>
        <w:tabs>
          <w:tab w:val="left" w:pos="851"/>
        </w:tabs>
        <w:snapToGrid w:val="0"/>
        <w:spacing w:line="360" w:lineRule="auto"/>
        <w:ind w:left="527" w:leftChars="1" w:hanging="525" w:hangingChars="250"/>
        <w:jc w:val="both"/>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“货物”是指投标人制造或组织符合招标文件要求的货物等。招标文件中没有提及采购货物来源地的，</w:t>
      </w:r>
      <w:r>
        <w:rPr>
          <w:rFonts w:hint="eastAsia" w:ascii="宋体" w:hAnsi="宋体" w:cs="宋体"/>
          <w:b/>
          <w:color w:val="auto"/>
          <w:szCs w:val="21"/>
          <w:highlight w:val="none"/>
        </w:rPr>
        <w:t>参考《政府采购法》的相关规定均应是本国货物，且优先采购、节能、环保产品</w:t>
      </w:r>
      <w:r>
        <w:rPr>
          <w:rFonts w:hint="eastAsia" w:ascii="宋体" w:hAnsi="宋体" w:cs="宋体"/>
          <w:color w:val="auto"/>
          <w:szCs w:val="21"/>
          <w:highlight w:val="none"/>
        </w:rPr>
        <w:t>。投标的货物必须是合法生产、合法来源的符合国家有关标准要求的货物，并满足本招标文件规定的规格、参数、质量、价格、有效期、售后服务等要求。</w:t>
      </w:r>
    </w:p>
    <w:p>
      <w:pPr>
        <w:tabs>
          <w:tab w:val="left" w:pos="851"/>
        </w:tabs>
        <w:snapToGrid w:val="0"/>
        <w:spacing w:line="360" w:lineRule="auto"/>
        <w:ind w:left="422" w:leftChars="1" w:hanging="420" w:hangingChars="200"/>
        <w:jc w:val="both"/>
        <w:rPr>
          <w:rFonts w:ascii="宋体" w:hAnsi="宋体" w:cs="宋体"/>
          <w:color w:val="auto"/>
          <w:szCs w:val="21"/>
          <w:highlight w:val="none"/>
        </w:rPr>
      </w:pPr>
      <w:r>
        <w:rPr>
          <w:rFonts w:ascii="宋体" w:hAnsi="宋体" w:cs="宋体"/>
          <w:color w:val="auto"/>
          <w:szCs w:val="21"/>
          <w:highlight w:val="none"/>
        </w:rPr>
        <w:t xml:space="preserve">3.2 </w:t>
      </w:r>
      <w:r>
        <w:rPr>
          <w:rFonts w:hint="eastAsia" w:ascii="宋体" w:hAnsi="宋体" w:cs="宋体"/>
          <w:color w:val="auto"/>
          <w:szCs w:val="21"/>
          <w:highlight w:val="none"/>
        </w:rPr>
        <w:t>“服务”是指除货物和工程以外的其他政府采购对象</w:t>
      </w:r>
      <w:r>
        <w:rPr>
          <w:rFonts w:ascii="宋体" w:cs="宋体"/>
          <w:color w:val="auto"/>
          <w:szCs w:val="21"/>
          <w:highlight w:val="none"/>
        </w:rPr>
        <w:t>,</w:t>
      </w:r>
      <w:r>
        <w:rPr>
          <w:rFonts w:hint="eastAsia" w:ascii="宋体" w:hAnsi="宋体" w:cs="宋体"/>
          <w:color w:val="auto"/>
          <w:szCs w:val="21"/>
          <w:highlight w:val="none"/>
        </w:rPr>
        <w:t>其中包括：投标人须承担的运输、安装、技术支持、培训以及招标文件规定的其它服务。</w:t>
      </w:r>
    </w:p>
    <w:p>
      <w:pPr>
        <w:tabs>
          <w:tab w:val="left" w:pos="851"/>
        </w:tabs>
        <w:snapToGrid w:val="0"/>
        <w:spacing w:line="360" w:lineRule="auto"/>
        <w:ind w:left="2"/>
        <w:jc w:val="both"/>
        <w:rPr>
          <w:rFonts w:ascii="宋体" w:hAnsi="宋体" w:cs="宋体"/>
          <w:b/>
          <w:color w:val="auto"/>
          <w:szCs w:val="21"/>
          <w:highlight w:val="none"/>
        </w:rPr>
      </w:pPr>
      <w:r>
        <w:rPr>
          <w:rFonts w:hint="eastAsia" w:ascii="宋体" w:hAnsi="宋体" w:cs="宋体"/>
          <w:b/>
          <w:color w:val="auto"/>
          <w:szCs w:val="21"/>
          <w:highlight w:val="none"/>
        </w:rPr>
        <w:t>4．投标费用</w:t>
      </w:r>
    </w:p>
    <w:p>
      <w:pPr>
        <w:tabs>
          <w:tab w:val="left" w:pos="851"/>
        </w:tabs>
        <w:snapToGrid w:val="0"/>
        <w:spacing w:line="360" w:lineRule="auto"/>
        <w:ind w:left="422" w:leftChars="1" w:hanging="420" w:hangingChars="200"/>
        <w:jc w:val="both"/>
        <w:rPr>
          <w:rFonts w:ascii="宋体" w:hAnsi="宋体" w:cs="宋体"/>
          <w:color w:val="auto"/>
          <w:szCs w:val="21"/>
          <w:highlight w:val="none"/>
        </w:rPr>
      </w:pPr>
      <w:r>
        <w:rPr>
          <w:rFonts w:hint="eastAsia" w:ascii="宋体" w:hAnsi="宋体" w:cs="宋体"/>
          <w:color w:val="auto"/>
          <w:szCs w:val="21"/>
          <w:highlight w:val="none"/>
        </w:rPr>
        <w:t>4.1供应商应承担所有与准备和参加投标有关的费用。不论投标的结果如何，政府采购代理机构和采购人均无义务和责任承担这些费用。</w:t>
      </w:r>
    </w:p>
    <w:p>
      <w:pPr>
        <w:pStyle w:val="6"/>
        <w:tabs>
          <w:tab w:val="clear" w:pos="851"/>
        </w:tabs>
        <w:rPr>
          <w:color w:val="auto"/>
          <w:highlight w:val="none"/>
        </w:rPr>
      </w:pPr>
      <w:r>
        <w:rPr>
          <w:rFonts w:hint="eastAsia" w:hAnsi="宋体" w:cs="宋体"/>
          <w:b/>
          <w:bCs/>
          <w:color w:val="auto"/>
          <w:szCs w:val="21"/>
          <w:highlight w:val="none"/>
        </w:rPr>
        <w:t xml:space="preserve">4.2 </w:t>
      </w:r>
      <w:r>
        <w:rPr>
          <w:rFonts w:hint="eastAsia"/>
          <w:color w:val="auto"/>
          <w:highlight w:val="none"/>
        </w:rPr>
        <w:t xml:space="preserve"> </w:t>
      </w:r>
      <w:bookmarkStart w:id="32" w:name="_Toc387820946"/>
      <w:r>
        <w:rPr>
          <w:rFonts w:hint="eastAsia" w:ascii="宋体" w:hAnsi="宋体" w:eastAsia="宋体" w:cs="宋体"/>
          <w:color w:val="auto"/>
          <w:sz w:val="21"/>
          <w:szCs w:val="21"/>
          <w:highlight w:val="none"/>
          <w:lang w:val="en-US" w:eastAsia="zh-CN" w:bidi="ar-SA"/>
        </w:rPr>
        <w:t>中标供应商应在收取《中标通知书》时向采购代理机构交纳中标服务费，中标服务费的收费标准按国家计委颁发的计价格【2002】1980号文规定按差额定率累进法计算，收费标准如下表所列:</w:t>
      </w:r>
      <w:bookmarkEnd w:id="32"/>
      <w:r>
        <w:rPr>
          <w:rFonts w:hint="eastAsia"/>
          <w:color w:val="auto"/>
          <w:highlight w:val="none"/>
        </w:rPr>
        <w:t xml:space="preserve"> </w:t>
      </w:r>
    </w:p>
    <w:tbl>
      <w:tblPr>
        <w:tblStyle w:val="55"/>
        <w:tblW w:w="6660" w:type="dxa"/>
        <w:tblInd w:w="136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60"/>
        <w:gridCol w:w="2340"/>
        <w:gridCol w:w="21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160" w:type="dxa"/>
            <w:shd w:val="clear" w:color="auto" w:fill="D9D9D9"/>
            <w:vAlign w:val="center"/>
          </w:tcPr>
          <w:p>
            <w:pPr>
              <w:spacing w:line="360" w:lineRule="auto"/>
              <w:jc w:val="center"/>
              <w:rPr>
                <w:rFonts w:ascii="宋体" w:hAnsi="宋体"/>
                <w:b/>
                <w:color w:val="auto"/>
                <w:highlight w:val="none"/>
              </w:rPr>
            </w:pPr>
            <w:r>
              <w:rPr>
                <w:rFonts w:hint="eastAsia" w:ascii="宋体" w:hAnsi="宋体"/>
                <w:b/>
                <w:color w:val="auto"/>
                <w:highlight w:val="none"/>
              </w:rPr>
              <w:t>中标金额（万元）</w:t>
            </w:r>
          </w:p>
        </w:tc>
        <w:tc>
          <w:tcPr>
            <w:tcW w:w="2340" w:type="dxa"/>
            <w:shd w:val="clear" w:color="auto" w:fill="D9D9D9"/>
            <w:vAlign w:val="center"/>
          </w:tcPr>
          <w:p>
            <w:pPr>
              <w:spacing w:line="360" w:lineRule="auto"/>
              <w:jc w:val="center"/>
              <w:rPr>
                <w:rFonts w:ascii="宋体" w:hAnsi="宋体"/>
                <w:b/>
                <w:color w:val="auto"/>
                <w:highlight w:val="none"/>
              </w:rPr>
            </w:pPr>
            <w:r>
              <w:rPr>
                <w:rFonts w:hint="eastAsia" w:ascii="宋体" w:hAnsi="宋体"/>
                <w:b/>
                <w:color w:val="auto"/>
                <w:highlight w:val="none"/>
              </w:rPr>
              <w:t>货物招标收费费率</w:t>
            </w:r>
          </w:p>
        </w:tc>
        <w:tc>
          <w:tcPr>
            <w:tcW w:w="2160" w:type="dxa"/>
            <w:shd w:val="clear" w:color="auto" w:fill="D9D9D9"/>
            <w:vAlign w:val="center"/>
          </w:tcPr>
          <w:p>
            <w:pPr>
              <w:spacing w:line="360" w:lineRule="auto"/>
              <w:jc w:val="center"/>
              <w:rPr>
                <w:rFonts w:ascii="宋体" w:hAnsi="宋体"/>
                <w:b/>
                <w:color w:val="auto"/>
                <w:highlight w:val="none"/>
              </w:rPr>
            </w:pPr>
            <w:r>
              <w:rPr>
                <w:rFonts w:hint="eastAsia"/>
                <w:b/>
                <w:color w:val="auto"/>
                <w:highlight w:val="none"/>
              </w:rPr>
              <w:t>服务</w:t>
            </w:r>
            <w:r>
              <w:rPr>
                <w:rFonts w:hint="eastAsia" w:ascii="宋体" w:hAnsi="宋体"/>
                <w:b/>
                <w:color w:val="auto"/>
                <w:highlight w:val="none"/>
              </w:rPr>
              <w:t>招标收费费率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16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100以下</w:t>
            </w:r>
          </w:p>
        </w:tc>
        <w:tc>
          <w:tcPr>
            <w:tcW w:w="234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1.5%</w:t>
            </w:r>
          </w:p>
        </w:tc>
        <w:tc>
          <w:tcPr>
            <w:tcW w:w="216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1.5%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16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100-500</w:t>
            </w:r>
          </w:p>
        </w:tc>
        <w:tc>
          <w:tcPr>
            <w:tcW w:w="234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1.10%</w:t>
            </w:r>
          </w:p>
        </w:tc>
        <w:tc>
          <w:tcPr>
            <w:tcW w:w="216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0.8%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16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500-1000</w:t>
            </w:r>
          </w:p>
        </w:tc>
        <w:tc>
          <w:tcPr>
            <w:tcW w:w="234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0.8%</w:t>
            </w:r>
          </w:p>
        </w:tc>
        <w:tc>
          <w:tcPr>
            <w:tcW w:w="216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16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1000-5000</w:t>
            </w:r>
          </w:p>
        </w:tc>
        <w:tc>
          <w:tcPr>
            <w:tcW w:w="234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0.5%</w:t>
            </w:r>
          </w:p>
        </w:tc>
        <w:tc>
          <w:tcPr>
            <w:tcW w:w="216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0.25%</w:t>
            </w:r>
          </w:p>
        </w:tc>
      </w:tr>
    </w:tbl>
    <w:p>
      <w:pPr>
        <w:snapToGrid w:val="0"/>
        <w:spacing w:line="360" w:lineRule="auto"/>
        <w:ind w:firstLine="840" w:firstLineChars="400"/>
        <w:rPr>
          <w:rFonts w:ascii="宋体"/>
          <w:color w:val="auto"/>
          <w:szCs w:val="21"/>
          <w:highlight w:val="none"/>
        </w:rPr>
      </w:pPr>
      <w:r>
        <w:rPr>
          <w:rFonts w:hint="eastAsia" w:ascii="宋体"/>
          <w:color w:val="auto"/>
          <w:highlight w:val="none"/>
        </w:rPr>
        <w:t>例如：某项目货物类招标代理业务中标金额为400万元，计算中标服务费收费额如下：</w:t>
      </w:r>
    </w:p>
    <w:p>
      <w:pPr>
        <w:snapToGrid w:val="0"/>
        <w:spacing w:line="360" w:lineRule="auto"/>
        <w:ind w:firstLine="2910" w:firstLineChars="1386"/>
        <w:rPr>
          <w:rFonts w:ascii="宋体"/>
          <w:color w:val="auto"/>
          <w:highlight w:val="none"/>
        </w:rPr>
      </w:pPr>
      <w:r>
        <w:rPr>
          <w:rFonts w:hint="eastAsia" w:ascii="宋体"/>
          <w:color w:val="auto"/>
          <w:highlight w:val="none"/>
        </w:rPr>
        <w:t>100万元 × 1.5% = 1.5万元</w:t>
      </w:r>
    </w:p>
    <w:p>
      <w:pPr>
        <w:snapToGrid w:val="0"/>
        <w:spacing w:line="360" w:lineRule="auto"/>
        <w:ind w:firstLine="2142" w:firstLineChars="1020"/>
        <w:rPr>
          <w:rFonts w:ascii="宋体"/>
          <w:color w:val="auto"/>
          <w:highlight w:val="none"/>
        </w:rPr>
      </w:pPr>
      <w:r>
        <w:rPr>
          <w:rFonts w:hint="eastAsia" w:ascii="宋体"/>
          <w:color w:val="auto"/>
          <w:highlight w:val="none"/>
        </w:rPr>
        <w:t>（400-100）万元 × 1.1% = 3.3万元</w:t>
      </w:r>
    </w:p>
    <w:p>
      <w:pPr>
        <w:tabs>
          <w:tab w:val="left" w:pos="1862"/>
        </w:tabs>
        <w:snapToGrid w:val="0"/>
        <w:spacing w:line="360" w:lineRule="auto"/>
        <w:ind w:firstLine="1959" w:firstLineChars="933"/>
        <w:rPr>
          <w:rFonts w:ascii="宋体"/>
          <w:color w:val="auto"/>
          <w:highlight w:val="none"/>
        </w:rPr>
      </w:pPr>
      <w:r>
        <w:rPr>
          <w:rFonts w:hint="eastAsia" w:ascii="宋体"/>
          <w:color w:val="auto"/>
          <w:highlight w:val="none"/>
        </w:rPr>
        <w:t>计收费 = 1.5万元 + 3.3万元 = 4.8万</w:t>
      </w:r>
      <w:r>
        <w:rPr>
          <w:rFonts w:hint="eastAsia" w:ascii="宋体" w:hAnsi="宋体"/>
          <w:color w:val="auto"/>
          <w:szCs w:val="21"/>
          <w:highlight w:val="none"/>
        </w:rPr>
        <w:t>元</w:t>
      </w:r>
    </w:p>
    <w:p>
      <w:pPr>
        <w:numPr>
          <w:ilvl w:val="1"/>
          <w:numId w:val="18"/>
        </w:numPr>
        <w:tabs>
          <w:tab w:val="left" w:pos="848"/>
        </w:tabs>
        <w:snapToGrid w:val="0"/>
        <w:spacing w:line="360" w:lineRule="auto"/>
        <w:ind w:left="848" w:hanging="848"/>
        <w:rPr>
          <w:rFonts w:ascii="宋体"/>
          <w:color w:val="auto"/>
          <w:highlight w:val="none"/>
        </w:rPr>
      </w:pPr>
      <w:r>
        <w:rPr>
          <w:rFonts w:hint="eastAsia" w:ascii="宋体"/>
          <w:color w:val="auto"/>
          <w:highlight w:val="none"/>
        </w:rPr>
        <w:t>本项目以货物招标收取中标服务费</w:t>
      </w:r>
      <w:r>
        <w:rPr>
          <w:rFonts w:hint="eastAsia" w:ascii="宋体"/>
          <w:color w:val="auto"/>
          <w:highlight w:val="none"/>
          <w:lang w:eastAsia="zh-CN"/>
        </w:rPr>
        <w:t>，</w:t>
      </w:r>
      <w:r>
        <w:rPr>
          <w:rFonts w:hint="eastAsia" w:ascii="宋体"/>
          <w:color w:val="auto"/>
          <w:highlight w:val="none"/>
        </w:rPr>
        <w:t>中标服务费以中标总金额为计费基数，货币为人民币。</w:t>
      </w:r>
    </w:p>
    <w:p>
      <w:pPr>
        <w:numPr>
          <w:ilvl w:val="1"/>
          <w:numId w:val="18"/>
        </w:numPr>
        <w:tabs>
          <w:tab w:val="left" w:pos="848"/>
        </w:tabs>
        <w:snapToGrid w:val="0"/>
        <w:spacing w:line="360" w:lineRule="auto"/>
        <w:ind w:left="848" w:hanging="848"/>
        <w:rPr>
          <w:rFonts w:ascii="宋体"/>
          <w:b/>
          <w:color w:val="auto"/>
          <w:szCs w:val="21"/>
          <w:highlight w:val="none"/>
        </w:rPr>
      </w:pPr>
      <w:r>
        <w:rPr>
          <w:rFonts w:hint="eastAsia" w:ascii="宋体"/>
          <w:color w:val="auto"/>
          <w:highlight w:val="none"/>
        </w:rPr>
        <w:t>中标服务费支付方式：一次性以银行划账、电汇、汇票或支票的形式支付。</w:t>
      </w:r>
    </w:p>
    <w:p>
      <w:pPr>
        <w:adjustRightInd w:val="0"/>
        <w:snapToGrid w:val="0"/>
        <w:spacing w:line="360" w:lineRule="auto"/>
        <w:ind w:left="210" w:leftChars="100" w:firstLine="1050" w:firstLineChars="5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开户银行：交通银行中山锦城支行</w:t>
      </w:r>
    </w:p>
    <w:p>
      <w:pPr>
        <w:adjustRightInd w:val="0"/>
        <w:snapToGrid w:val="0"/>
        <w:spacing w:line="360" w:lineRule="auto"/>
        <w:ind w:firstLine="1260" w:firstLineChars="600"/>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rPr>
        <w:t>账户名称：</w:t>
      </w:r>
      <w:r>
        <w:rPr>
          <w:rFonts w:hint="eastAsia" w:ascii="宋体" w:hAnsi="宋体" w:cs="宋体"/>
          <w:color w:val="auto"/>
          <w:szCs w:val="21"/>
          <w:highlight w:val="none"/>
          <w:shd w:val="clear" w:color="auto" w:fill="FFFFFF"/>
          <w:lang w:eastAsia="zh-CN"/>
        </w:rPr>
        <w:t>中山市建业建筑工程监理有限公司</w:t>
      </w:r>
    </w:p>
    <w:p>
      <w:pPr>
        <w:spacing w:line="360" w:lineRule="auto"/>
        <w:ind w:firstLine="1260" w:firstLineChars="600"/>
        <w:rPr>
          <w:rFonts w:ascii="宋体"/>
          <w:color w:val="auto"/>
          <w:highlight w:val="none"/>
        </w:rPr>
      </w:pPr>
      <w:r>
        <w:rPr>
          <w:rFonts w:hint="eastAsia" w:ascii="宋体" w:hAnsi="宋体" w:cs="宋体"/>
          <w:color w:val="auto"/>
          <w:szCs w:val="21"/>
          <w:highlight w:val="none"/>
          <w:shd w:val="clear" w:color="auto" w:fill="FFFFFF"/>
        </w:rPr>
        <w:t>账　　号：4846</w:t>
      </w:r>
      <w:r>
        <w:rPr>
          <w:rFonts w:hint="eastAsia" w:ascii="宋体" w:hAnsi="宋体" w:cs="宋体"/>
          <w:color w:val="auto"/>
          <w:szCs w:val="21"/>
          <w:highlight w:val="none"/>
          <w:shd w:val="clear" w:color="auto" w:fill="FFFFFF"/>
          <w:lang w:val="en-US" w:eastAsia="zh-CN"/>
        </w:rPr>
        <w:t xml:space="preserve"> </w:t>
      </w:r>
      <w:r>
        <w:rPr>
          <w:rFonts w:hint="eastAsia" w:ascii="宋体" w:hAnsi="宋体" w:cs="宋体"/>
          <w:color w:val="auto"/>
          <w:szCs w:val="21"/>
          <w:highlight w:val="none"/>
          <w:shd w:val="clear" w:color="auto" w:fill="FFFFFF"/>
        </w:rPr>
        <w:t>0090</w:t>
      </w:r>
      <w:r>
        <w:rPr>
          <w:rFonts w:hint="eastAsia" w:ascii="宋体" w:hAnsi="宋体" w:cs="宋体"/>
          <w:color w:val="auto"/>
          <w:szCs w:val="21"/>
          <w:highlight w:val="none"/>
          <w:shd w:val="clear" w:color="auto" w:fill="FFFFFF"/>
          <w:lang w:val="en-US" w:eastAsia="zh-CN"/>
        </w:rPr>
        <w:t xml:space="preserve"> </w:t>
      </w:r>
      <w:r>
        <w:rPr>
          <w:rFonts w:hint="eastAsia" w:ascii="宋体" w:hAnsi="宋体" w:cs="宋体"/>
          <w:color w:val="auto"/>
          <w:szCs w:val="21"/>
          <w:highlight w:val="none"/>
          <w:shd w:val="clear" w:color="auto" w:fill="FFFFFF"/>
        </w:rPr>
        <w:t>0010</w:t>
      </w:r>
      <w:r>
        <w:rPr>
          <w:rFonts w:hint="eastAsia" w:ascii="宋体" w:hAnsi="宋体" w:cs="宋体"/>
          <w:color w:val="auto"/>
          <w:szCs w:val="21"/>
          <w:highlight w:val="none"/>
          <w:shd w:val="clear" w:color="auto" w:fill="FFFFFF"/>
          <w:lang w:val="en-US" w:eastAsia="zh-CN"/>
        </w:rPr>
        <w:t xml:space="preserve"> </w:t>
      </w:r>
      <w:r>
        <w:rPr>
          <w:rFonts w:hint="eastAsia" w:ascii="宋体" w:hAnsi="宋体" w:cs="宋体"/>
          <w:color w:val="auto"/>
          <w:szCs w:val="21"/>
          <w:highlight w:val="none"/>
          <w:shd w:val="clear" w:color="auto" w:fill="FFFFFF"/>
        </w:rPr>
        <w:t>2100</w:t>
      </w:r>
      <w:r>
        <w:rPr>
          <w:rFonts w:hint="eastAsia" w:ascii="宋体" w:hAnsi="宋体" w:cs="宋体"/>
          <w:color w:val="auto"/>
          <w:szCs w:val="21"/>
          <w:highlight w:val="none"/>
          <w:shd w:val="clear" w:color="auto" w:fill="FFFFFF"/>
          <w:lang w:val="en-US" w:eastAsia="zh-CN"/>
        </w:rPr>
        <w:t xml:space="preserve"> </w:t>
      </w:r>
      <w:r>
        <w:rPr>
          <w:rFonts w:hint="eastAsia" w:ascii="宋体" w:hAnsi="宋体" w:cs="宋体"/>
          <w:color w:val="auto"/>
          <w:szCs w:val="21"/>
          <w:highlight w:val="none"/>
          <w:shd w:val="clear" w:color="auto" w:fill="FFFFFF"/>
        </w:rPr>
        <w:t>1096</w:t>
      </w:r>
      <w:r>
        <w:rPr>
          <w:rFonts w:hint="eastAsia" w:ascii="宋体" w:hAnsi="宋体" w:cs="宋体"/>
          <w:color w:val="auto"/>
          <w:szCs w:val="21"/>
          <w:highlight w:val="none"/>
          <w:shd w:val="clear" w:color="auto" w:fill="FFFFFF"/>
          <w:lang w:val="en-US" w:eastAsia="zh-CN"/>
        </w:rPr>
        <w:t xml:space="preserve"> </w:t>
      </w:r>
      <w:r>
        <w:rPr>
          <w:rFonts w:hint="eastAsia" w:ascii="宋体" w:hAnsi="宋体" w:cs="宋体"/>
          <w:color w:val="auto"/>
          <w:szCs w:val="21"/>
          <w:highlight w:val="none"/>
          <w:shd w:val="clear" w:color="auto" w:fill="FFFFFF"/>
        </w:rPr>
        <w:t>8</w:t>
      </w:r>
    </w:p>
    <w:p>
      <w:pPr>
        <w:numPr>
          <w:ilvl w:val="1"/>
          <w:numId w:val="18"/>
        </w:numPr>
        <w:tabs>
          <w:tab w:val="left" w:pos="848"/>
        </w:tabs>
        <w:snapToGrid w:val="0"/>
        <w:spacing w:line="360" w:lineRule="auto"/>
        <w:ind w:left="848" w:hanging="848"/>
        <w:rPr>
          <w:rFonts w:ascii="宋体"/>
          <w:color w:val="auto"/>
          <w:highlight w:val="none"/>
        </w:rPr>
      </w:pPr>
      <w:r>
        <w:rPr>
          <w:rFonts w:hint="eastAsia" w:ascii="宋体"/>
          <w:color w:val="auto"/>
          <w:highlight w:val="none"/>
        </w:rPr>
        <w:t>中标服务费支付时间：中标服务费必须在中标供应商领取《中标通知书》时一次性付清，如果中标供应商未能按时交纳中标服务费，采购代理机构/采购人保留取消其中标资格并追究其法律责任的权利。</w:t>
      </w:r>
    </w:p>
    <w:p>
      <w:pPr>
        <w:numPr>
          <w:ilvl w:val="1"/>
          <w:numId w:val="18"/>
        </w:numPr>
        <w:tabs>
          <w:tab w:val="left" w:pos="848"/>
        </w:tabs>
        <w:snapToGrid w:val="0"/>
        <w:spacing w:line="360" w:lineRule="auto"/>
        <w:ind w:left="848" w:hanging="848"/>
        <w:rPr>
          <w:rFonts w:ascii="宋体"/>
          <w:color w:val="auto"/>
          <w:highlight w:val="none"/>
        </w:rPr>
      </w:pPr>
      <w:r>
        <w:rPr>
          <w:rFonts w:hint="eastAsia" w:ascii="宋体"/>
          <w:color w:val="auto"/>
          <w:highlight w:val="none"/>
        </w:rPr>
        <w:t>中标服务费不在投标报价中单列。</w:t>
      </w:r>
    </w:p>
    <w:p>
      <w:pPr>
        <w:pStyle w:val="27"/>
        <w:adjustRightInd w:val="0"/>
        <w:snapToGrid w:val="0"/>
        <w:spacing w:line="360" w:lineRule="auto"/>
        <w:ind w:left="710" w:leftChars="100" w:hanging="500" w:hangingChars="250"/>
        <w:rPr>
          <w:rFonts w:hAnsi="宋体"/>
          <w:color w:val="auto"/>
          <w:szCs w:val="24"/>
          <w:highlight w:val="none"/>
        </w:rPr>
      </w:pPr>
    </w:p>
    <w:p>
      <w:pPr>
        <w:widowControl w:val="0"/>
        <w:adjustRightInd w:val="0"/>
        <w:snapToGrid w:val="0"/>
        <w:spacing w:line="360" w:lineRule="auto"/>
        <w:jc w:val="center"/>
        <w:rPr>
          <w:rFonts w:ascii="宋体" w:cs="宋体"/>
          <w:b/>
          <w:color w:val="auto"/>
          <w:kern w:val="2"/>
          <w:szCs w:val="21"/>
          <w:highlight w:val="none"/>
        </w:rPr>
      </w:pPr>
      <w:r>
        <w:rPr>
          <w:rFonts w:hint="eastAsia" w:ascii="宋体" w:hAnsi="宋体" w:cs="宋体"/>
          <w:b/>
          <w:color w:val="auto"/>
          <w:kern w:val="2"/>
          <w:szCs w:val="21"/>
          <w:highlight w:val="none"/>
        </w:rPr>
        <w:t>二、招标文件</w:t>
      </w:r>
    </w:p>
    <w:p>
      <w:pPr>
        <w:widowControl w:val="0"/>
        <w:adjustRightInd w:val="0"/>
        <w:snapToGrid w:val="0"/>
        <w:spacing w:line="360" w:lineRule="auto"/>
        <w:ind w:left="420" w:hanging="420"/>
        <w:jc w:val="both"/>
        <w:rPr>
          <w:rFonts w:ascii="宋体" w:cs="宋体"/>
          <w:b/>
          <w:color w:val="auto"/>
          <w:kern w:val="2"/>
          <w:szCs w:val="21"/>
          <w:highlight w:val="none"/>
        </w:rPr>
      </w:pPr>
      <w:r>
        <w:rPr>
          <w:rFonts w:ascii="宋体" w:hAnsi="宋体" w:cs="宋体"/>
          <w:b/>
          <w:color w:val="auto"/>
          <w:kern w:val="2"/>
          <w:szCs w:val="21"/>
          <w:highlight w:val="none"/>
        </w:rPr>
        <w:t xml:space="preserve">1. </w:t>
      </w:r>
      <w:r>
        <w:rPr>
          <w:rFonts w:hint="eastAsia" w:ascii="宋体" w:hAnsi="宋体" w:cs="宋体"/>
          <w:b/>
          <w:color w:val="auto"/>
          <w:kern w:val="2"/>
          <w:szCs w:val="21"/>
          <w:highlight w:val="none"/>
        </w:rPr>
        <w:t>招标文件的构成</w:t>
      </w:r>
    </w:p>
    <w:p>
      <w:pPr>
        <w:widowControl w:val="0"/>
        <w:adjustRightInd w:val="0"/>
        <w:snapToGrid w:val="0"/>
        <w:spacing w:line="360" w:lineRule="auto"/>
        <w:ind w:left="420" w:hanging="420"/>
        <w:jc w:val="both"/>
        <w:rPr>
          <w:rFonts w:ascii="宋体" w:cs="宋体"/>
          <w:color w:val="auto"/>
          <w:kern w:val="2"/>
          <w:szCs w:val="21"/>
          <w:highlight w:val="none"/>
        </w:rPr>
      </w:pPr>
      <w:r>
        <w:rPr>
          <w:rFonts w:ascii="宋体" w:hAnsi="宋体" w:cs="宋体"/>
          <w:color w:val="auto"/>
          <w:kern w:val="2"/>
          <w:szCs w:val="21"/>
          <w:highlight w:val="none"/>
        </w:rPr>
        <w:t>1.1</w:t>
      </w:r>
      <w:r>
        <w:rPr>
          <w:rFonts w:hint="eastAsia" w:ascii="宋体" w:hAnsi="宋体" w:cs="宋体"/>
          <w:color w:val="auto"/>
          <w:kern w:val="2"/>
          <w:szCs w:val="21"/>
          <w:highlight w:val="none"/>
        </w:rPr>
        <w:t>招标文件由下列文件以及在招标过程中发出的修正和补充文件组成：</w:t>
      </w:r>
    </w:p>
    <w:p>
      <w:pPr>
        <w:widowControl w:val="0"/>
        <w:adjustRightInd w:val="0"/>
        <w:snapToGrid w:val="0"/>
        <w:spacing w:line="360" w:lineRule="auto"/>
        <w:ind w:firstLine="360"/>
        <w:jc w:val="both"/>
        <w:rPr>
          <w:rFonts w:ascii="宋体" w:cs="宋体"/>
          <w:color w:val="auto"/>
          <w:kern w:val="2"/>
          <w:szCs w:val="21"/>
          <w:highlight w:val="none"/>
        </w:rPr>
      </w:pPr>
      <w:r>
        <w:rPr>
          <w:rFonts w:ascii="宋体" w:hAnsi="宋体" w:cs="宋体"/>
          <w:color w:val="auto"/>
          <w:kern w:val="2"/>
          <w:szCs w:val="21"/>
          <w:highlight w:val="none"/>
        </w:rPr>
        <w:t xml:space="preserve">1) </w:t>
      </w:r>
      <w:r>
        <w:rPr>
          <w:rFonts w:hint="eastAsia" w:ascii="宋体" w:hAnsi="宋体" w:cs="宋体"/>
          <w:color w:val="auto"/>
          <w:kern w:val="2"/>
          <w:szCs w:val="21"/>
          <w:highlight w:val="none"/>
        </w:rPr>
        <w:t>投标邀请函</w:t>
      </w:r>
    </w:p>
    <w:p>
      <w:pPr>
        <w:widowControl w:val="0"/>
        <w:adjustRightInd w:val="0"/>
        <w:snapToGrid w:val="0"/>
        <w:spacing w:line="360" w:lineRule="auto"/>
        <w:ind w:firstLine="360"/>
        <w:jc w:val="both"/>
        <w:rPr>
          <w:rFonts w:ascii="宋体" w:cs="宋体"/>
          <w:color w:val="auto"/>
          <w:kern w:val="2"/>
          <w:szCs w:val="21"/>
          <w:highlight w:val="none"/>
        </w:rPr>
      </w:pPr>
      <w:r>
        <w:rPr>
          <w:rFonts w:ascii="宋体" w:hAnsi="宋体" w:cs="宋体"/>
          <w:color w:val="auto"/>
          <w:kern w:val="2"/>
          <w:szCs w:val="21"/>
          <w:highlight w:val="none"/>
        </w:rPr>
        <w:t xml:space="preserve">2) </w:t>
      </w:r>
      <w:r>
        <w:rPr>
          <w:rFonts w:hint="eastAsia" w:ascii="宋体" w:hAnsi="宋体" w:cs="宋体"/>
          <w:color w:val="auto"/>
          <w:kern w:val="2"/>
          <w:szCs w:val="21"/>
          <w:highlight w:val="none"/>
        </w:rPr>
        <w:t>用户需求书</w:t>
      </w:r>
    </w:p>
    <w:p>
      <w:pPr>
        <w:widowControl w:val="0"/>
        <w:tabs>
          <w:tab w:val="left" w:pos="900"/>
        </w:tabs>
        <w:adjustRightInd w:val="0"/>
        <w:snapToGrid w:val="0"/>
        <w:spacing w:line="360" w:lineRule="auto"/>
        <w:ind w:firstLine="360"/>
        <w:jc w:val="both"/>
        <w:rPr>
          <w:rFonts w:ascii="宋体" w:cs="宋体"/>
          <w:color w:val="auto"/>
          <w:kern w:val="2"/>
          <w:szCs w:val="21"/>
          <w:highlight w:val="none"/>
        </w:rPr>
      </w:pPr>
      <w:r>
        <w:rPr>
          <w:rFonts w:ascii="宋体" w:hAnsi="宋体" w:cs="宋体"/>
          <w:color w:val="auto"/>
          <w:kern w:val="2"/>
          <w:szCs w:val="21"/>
          <w:highlight w:val="none"/>
        </w:rPr>
        <w:t xml:space="preserve">3) </w:t>
      </w:r>
      <w:r>
        <w:rPr>
          <w:rFonts w:hint="eastAsia" w:ascii="宋体" w:hAnsi="宋体" w:cs="宋体"/>
          <w:color w:val="auto"/>
          <w:kern w:val="2"/>
          <w:szCs w:val="21"/>
          <w:highlight w:val="none"/>
        </w:rPr>
        <w:t>投标人须知</w:t>
      </w:r>
    </w:p>
    <w:p>
      <w:pPr>
        <w:widowControl w:val="0"/>
        <w:tabs>
          <w:tab w:val="left" w:pos="900"/>
        </w:tabs>
        <w:adjustRightInd w:val="0"/>
        <w:snapToGrid w:val="0"/>
        <w:spacing w:line="360" w:lineRule="auto"/>
        <w:ind w:firstLine="360"/>
        <w:jc w:val="both"/>
        <w:rPr>
          <w:rFonts w:ascii="宋体" w:cs="宋体"/>
          <w:color w:val="auto"/>
          <w:kern w:val="2"/>
          <w:szCs w:val="21"/>
          <w:highlight w:val="none"/>
        </w:rPr>
      </w:pPr>
      <w:r>
        <w:rPr>
          <w:rFonts w:ascii="宋体" w:hAnsi="宋体" w:cs="宋体"/>
          <w:color w:val="auto"/>
          <w:kern w:val="2"/>
          <w:szCs w:val="21"/>
          <w:highlight w:val="none"/>
        </w:rPr>
        <w:t>4</w:t>
      </w:r>
      <w:r>
        <w:rPr>
          <w:rFonts w:hint="eastAsia" w:ascii="宋体" w:hAnsi="宋体" w:cs="宋体"/>
          <w:color w:val="auto"/>
          <w:kern w:val="2"/>
          <w:szCs w:val="21"/>
          <w:highlight w:val="none"/>
        </w:rPr>
        <w:t>）开标、评标和定标</w:t>
      </w:r>
    </w:p>
    <w:p>
      <w:pPr>
        <w:widowControl w:val="0"/>
        <w:adjustRightInd w:val="0"/>
        <w:snapToGrid w:val="0"/>
        <w:spacing w:line="360" w:lineRule="auto"/>
        <w:ind w:firstLine="360"/>
        <w:jc w:val="both"/>
        <w:rPr>
          <w:rFonts w:ascii="宋体" w:cs="宋体"/>
          <w:color w:val="auto"/>
          <w:kern w:val="2"/>
          <w:szCs w:val="21"/>
          <w:highlight w:val="none"/>
        </w:rPr>
      </w:pPr>
      <w:r>
        <w:rPr>
          <w:rFonts w:ascii="宋体" w:hAnsi="宋体" w:cs="宋体"/>
          <w:color w:val="auto"/>
          <w:kern w:val="2"/>
          <w:szCs w:val="21"/>
          <w:highlight w:val="none"/>
        </w:rPr>
        <w:t xml:space="preserve">5) </w:t>
      </w:r>
      <w:r>
        <w:rPr>
          <w:rFonts w:hint="eastAsia" w:ascii="宋体" w:hAnsi="宋体" w:cs="宋体"/>
          <w:color w:val="auto"/>
          <w:kern w:val="2"/>
          <w:szCs w:val="21"/>
          <w:highlight w:val="none"/>
        </w:rPr>
        <w:t>合同书格式</w:t>
      </w:r>
    </w:p>
    <w:p>
      <w:pPr>
        <w:widowControl w:val="0"/>
        <w:adjustRightInd w:val="0"/>
        <w:snapToGrid w:val="0"/>
        <w:spacing w:line="360" w:lineRule="auto"/>
        <w:ind w:firstLine="360"/>
        <w:jc w:val="both"/>
        <w:rPr>
          <w:rFonts w:ascii="宋体" w:cs="宋体"/>
          <w:color w:val="auto"/>
          <w:kern w:val="2"/>
          <w:szCs w:val="21"/>
          <w:highlight w:val="none"/>
        </w:rPr>
      </w:pPr>
      <w:r>
        <w:rPr>
          <w:rFonts w:ascii="宋体" w:hAnsi="宋体" w:cs="宋体"/>
          <w:color w:val="auto"/>
          <w:kern w:val="2"/>
          <w:szCs w:val="21"/>
          <w:highlight w:val="none"/>
        </w:rPr>
        <w:t xml:space="preserve">6) </w:t>
      </w:r>
      <w:r>
        <w:rPr>
          <w:rFonts w:hint="eastAsia" w:ascii="宋体" w:hAnsi="宋体" w:cs="宋体"/>
          <w:color w:val="auto"/>
          <w:kern w:val="2"/>
          <w:szCs w:val="21"/>
          <w:highlight w:val="none"/>
        </w:rPr>
        <w:t>投标文件格式</w:t>
      </w:r>
    </w:p>
    <w:p>
      <w:pPr>
        <w:widowControl w:val="0"/>
        <w:adjustRightInd w:val="0"/>
        <w:snapToGrid w:val="0"/>
        <w:spacing w:line="360" w:lineRule="auto"/>
        <w:ind w:firstLine="360"/>
        <w:jc w:val="both"/>
        <w:rPr>
          <w:rFonts w:ascii="宋体" w:cs="宋体"/>
          <w:color w:val="auto"/>
          <w:kern w:val="2"/>
          <w:szCs w:val="21"/>
          <w:highlight w:val="none"/>
        </w:rPr>
      </w:pPr>
      <w:r>
        <w:rPr>
          <w:rFonts w:ascii="宋体" w:hAnsi="宋体" w:cs="宋体"/>
          <w:color w:val="auto"/>
          <w:kern w:val="2"/>
          <w:szCs w:val="21"/>
          <w:highlight w:val="none"/>
        </w:rPr>
        <w:t xml:space="preserve">7) </w:t>
      </w:r>
      <w:r>
        <w:rPr>
          <w:rFonts w:hint="eastAsia" w:ascii="宋体" w:hAnsi="宋体" w:cs="宋体"/>
          <w:color w:val="auto"/>
          <w:kern w:val="2"/>
          <w:szCs w:val="21"/>
          <w:highlight w:val="none"/>
        </w:rPr>
        <w:t>在招标过程中由采购人发出的修正和补充文件等</w:t>
      </w:r>
    </w:p>
    <w:p>
      <w:pPr>
        <w:tabs>
          <w:tab w:val="left" w:pos="851"/>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投标人应认真阅读、并充分理解招标文件的全部内容（包括所有的补充、修改内容、重要事项、格式、条款和技术规范、参数及要求等）。投标人没有按照招标文件要求提交全部资料，或者投标文件没有对招标文件在各方面都做出实质性响应是投标人的风险，有可能导致其投标被拒绝，或被认定为无效投标或被确定为投标无效。</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 xml:space="preserve">2. </w:t>
      </w:r>
      <w:r>
        <w:rPr>
          <w:rFonts w:hint="eastAsia" w:ascii="宋体" w:hAnsi="宋体" w:cs="宋体"/>
          <w:b/>
          <w:color w:val="auto"/>
          <w:kern w:val="2"/>
          <w:szCs w:val="21"/>
          <w:highlight w:val="none"/>
        </w:rPr>
        <w:t>招标文件的澄清</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2.1</w:t>
      </w:r>
      <w:r>
        <w:rPr>
          <w:rFonts w:hint="eastAsia" w:ascii="宋体" w:hAnsi="宋体" w:cs="宋体"/>
          <w:color w:val="auto"/>
          <w:kern w:val="2"/>
          <w:szCs w:val="21"/>
          <w:highlight w:val="none"/>
        </w:rPr>
        <w:t>任何要求对招标文件进行澄清的投标人，均应以书面形式在投标截止时间十五日以前通知采购人或政府采购代理机构，政府采购代理机构将组织采购人对投标人所要求澄清的内容均以书面形式予以答复（答复中不包括问题的来源）。必要时，采购人或政府采购代理机构将组织相关专家召开答疑会，并将会议内容以书面的形式发给所有购买招标文件的潜在投标人。</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2.2</w:t>
      </w:r>
      <w:r>
        <w:rPr>
          <w:rFonts w:hint="eastAsia" w:ascii="宋体" w:hAnsi="宋体" w:cs="宋体"/>
          <w:color w:val="auto"/>
          <w:kern w:val="2"/>
          <w:szCs w:val="21"/>
          <w:highlight w:val="none"/>
        </w:rPr>
        <w:t>投标人在规定的时间内未对招标文件澄清或提出疑问的，采购人或政府采购代理机构将视其为无异议。对招标文件中描述有歧义或前后不一致的地方，评标委员会有权进行评判，但对同一条款的评判应适用于每个投标人。</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 xml:space="preserve">3. </w:t>
      </w:r>
      <w:r>
        <w:rPr>
          <w:rFonts w:hint="eastAsia" w:ascii="宋体" w:hAnsi="宋体" w:cs="宋体"/>
          <w:b/>
          <w:color w:val="auto"/>
          <w:kern w:val="2"/>
          <w:szCs w:val="21"/>
          <w:highlight w:val="none"/>
        </w:rPr>
        <w:t>招标文件的修改</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 xml:space="preserve">3.l </w:t>
      </w:r>
      <w:r>
        <w:rPr>
          <w:rFonts w:hint="eastAsia" w:ascii="宋体" w:hAnsi="宋体" w:cs="宋体"/>
          <w:color w:val="auto"/>
          <w:kern w:val="2"/>
          <w:szCs w:val="21"/>
          <w:highlight w:val="none"/>
        </w:rPr>
        <w:t>无论出于何种原因，采购人或政府采购代理机构可主动地或在解答投标人提出的疑问时对招标文件进行修改，采购人或政府采购代理机构对已发出的招标文件进行必要修改的，应当在投标文件截止时间十五日前，在政府采购信息发布媒体上发布更正公告，并以书面形式通知所有购买招标文件的潜在投标人。</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 xml:space="preserve">3.2 </w:t>
      </w:r>
      <w:r>
        <w:rPr>
          <w:rFonts w:hint="eastAsia" w:ascii="宋体" w:hAnsi="宋体" w:cs="宋体"/>
          <w:color w:val="auto"/>
          <w:kern w:val="2"/>
          <w:szCs w:val="21"/>
          <w:highlight w:val="none"/>
        </w:rPr>
        <w:t>招标文件的修改内容是招标文件的组成部分，并对潜在投标人具有约束力。潜在投标人在收到上述通知后，应立即以书面形式（加盖公章）向采购人或政府采购代理机构确认。如在</w:t>
      </w:r>
      <w:r>
        <w:rPr>
          <w:rFonts w:ascii="宋体" w:hAnsi="宋体" w:cs="宋体"/>
          <w:color w:val="auto"/>
          <w:kern w:val="2"/>
          <w:szCs w:val="21"/>
          <w:highlight w:val="none"/>
        </w:rPr>
        <w:t>24</w:t>
      </w:r>
      <w:r>
        <w:rPr>
          <w:rFonts w:hint="eastAsia" w:ascii="宋体" w:hAnsi="宋体" w:cs="宋体"/>
          <w:color w:val="auto"/>
          <w:kern w:val="2"/>
          <w:szCs w:val="21"/>
          <w:highlight w:val="none"/>
        </w:rPr>
        <w:t>小时之内无书面回函则视为同意修改内容，并有责任履行相应的义务。</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 xml:space="preserve">3.3 </w:t>
      </w:r>
      <w:r>
        <w:rPr>
          <w:rFonts w:hint="eastAsia" w:ascii="宋体" w:hAnsi="宋体" w:cs="宋体"/>
          <w:color w:val="auto"/>
          <w:kern w:val="2"/>
          <w:szCs w:val="21"/>
          <w:highlight w:val="none"/>
        </w:rPr>
        <w:t>为使投标人准备投标时有充足时间对招标文件的修改部分进行研究，采购人或政府采购代理机构可适当推迟投标截止期，将变更时间在指定媒体上发布公告，并书面通知所有购买招标文件的潜在投标人。</w:t>
      </w:r>
    </w:p>
    <w:p>
      <w:pPr>
        <w:widowControl w:val="0"/>
        <w:adjustRightInd w:val="0"/>
        <w:snapToGrid w:val="0"/>
        <w:spacing w:line="360" w:lineRule="auto"/>
        <w:ind w:left="420" w:hanging="420"/>
        <w:jc w:val="center"/>
        <w:rPr>
          <w:rFonts w:ascii="宋体" w:cs="宋体"/>
          <w:b/>
          <w:color w:val="auto"/>
          <w:kern w:val="2"/>
          <w:szCs w:val="21"/>
          <w:highlight w:val="none"/>
        </w:rPr>
      </w:pPr>
      <w:r>
        <w:rPr>
          <w:rFonts w:hint="eastAsia" w:ascii="宋体" w:hAnsi="宋体" w:cs="宋体"/>
          <w:b/>
          <w:color w:val="auto"/>
          <w:kern w:val="2"/>
          <w:szCs w:val="21"/>
          <w:highlight w:val="none"/>
        </w:rPr>
        <w:t>三、投标文件的编制和数量</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1</w:t>
      </w:r>
      <w:r>
        <w:rPr>
          <w:rFonts w:hint="eastAsia" w:ascii="宋体" w:hAnsi="宋体" w:cs="宋体"/>
          <w:b/>
          <w:color w:val="auto"/>
          <w:kern w:val="2"/>
          <w:szCs w:val="21"/>
          <w:highlight w:val="none"/>
        </w:rPr>
        <w:t>．投标的语言和计量</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1.1</w:t>
      </w:r>
      <w:r>
        <w:rPr>
          <w:rFonts w:hint="eastAsia" w:ascii="宋体" w:hAnsi="宋体" w:cs="宋体"/>
          <w:color w:val="auto"/>
          <w:kern w:val="2"/>
          <w:szCs w:val="21"/>
          <w:highlight w:val="none"/>
        </w:rPr>
        <w:t>投标人提交的投标文件以及投标人与采购人及政府采购代理机构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1.2</w:t>
      </w:r>
      <w:r>
        <w:rPr>
          <w:rFonts w:hint="eastAsia" w:ascii="宋体" w:hAnsi="宋体" w:cs="宋体"/>
          <w:color w:val="auto"/>
          <w:kern w:val="2"/>
          <w:szCs w:val="21"/>
          <w:highlight w:val="none"/>
        </w:rPr>
        <w:t>除非招标文件另有规定，投标人在投标文件中及其与采购代理、采购人的所有往来文件中的计量单位均应采用中华人民共和国法定计量单位。</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2</w:t>
      </w:r>
      <w:r>
        <w:rPr>
          <w:rFonts w:hint="eastAsia" w:ascii="宋体" w:hAnsi="宋体" w:cs="宋体"/>
          <w:b/>
          <w:color w:val="auto"/>
          <w:kern w:val="2"/>
          <w:szCs w:val="21"/>
          <w:highlight w:val="none"/>
        </w:rPr>
        <w:t>．投标文件的构成</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2.1</w:t>
      </w:r>
      <w:r>
        <w:rPr>
          <w:rFonts w:hint="eastAsia" w:ascii="宋体" w:hAnsi="宋体" w:cs="宋体"/>
          <w:color w:val="auto"/>
          <w:kern w:val="2"/>
          <w:szCs w:val="21"/>
          <w:highlight w:val="none"/>
        </w:rPr>
        <w:t>投标文件的构成应符合法律法规及招标文件的要求。</w:t>
      </w:r>
    </w:p>
    <w:p>
      <w:pPr>
        <w:spacing w:line="360" w:lineRule="auto"/>
        <w:ind w:left="464" w:hanging="464" w:hangingChars="221"/>
        <w:rPr>
          <w:rFonts w:ascii="宋体"/>
          <w:color w:val="auto"/>
          <w:szCs w:val="21"/>
          <w:highlight w:val="none"/>
        </w:rPr>
      </w:pPr>
      <w:r>
        <w:rPr>
          <w:rFonts w:ascii="宋体" w:hAnsi="宋体" w:cs="宋体"/>
          <w:color w:val="auto"/>
          <w:szCs w:val="21"/>
          <w:highlight w:val="none"/>
        </w:rPr>
        <w:t>2.2</w:t>
      </w:r>
      <w:r>
        <w:rPr>
          <w:rFonts w:hint="eastAsia" w:ascii="宋体" w:hAnsi="宋体"/>
          <w:color w:val="auto"/>
          <w:szCs w:val="21"/>
          <w:highlight w:val="none"/>
        </w:rPr>
        <w:t>投标人应按本招标文件规定的内容和格式编制并提交投标文件，投标文件应参照招标文件第六部分的内容要求、编排顺序和格式要求，按顺序装订成册，提供全面的投标文件。包含但不限于以下内容：</w:t>
      </w:r>
    </w:p>
    <w:p>
      <w:pPr>
        <w:spacing w:line="360" w:lineRule="auto"/>
        <w:ind w:left="720" w:hanging="402"/>
        <w:jc w:val="both"/>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）按本须知的规定填写的投标函、开标一览表；</w:t>
      </w:r>
    </w:p>
    <w:p>
      <w:pPr>
        <w:spacing w:line="360" w:lineRule="auto"/>
        <w:ind w:left="720" w:hanging="402"/>
        <w:jc w:val="both"/>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）按本须知的要求出具的资格证明文件，证明投标人是合格的，而且中标后有能力履行合同；</w:t>
      </w:r>
    </w:p>
    <w:p>
      <w:pPr>
        <w:spacing w:line="360" w:lineRule="auto"/>
        <w:ind w:left="636" w:hanging="318"/>
        <w:jc w:val="both"/>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）按本须知的规定出具的证明文件，证明投标人提供的货物和服务是合格的，而且符合招标文件的规定；</w:t>
      </w:r>
    </w:p>
    <w:p>
      <w:pPr>
        <w:spacing w:line="360" w:lineRule="auto"/>
        <w:ind w:left="720" w:hanging="402"/>
        <w:jc w:val="both"/>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）按本须知的规定提交的投标保证金；</w:t>
      </w:r>
    </w:p>
    <w:p>
      <w:pPr>
        <w:spacing w:line="360" w:lineRule="auto"/>
        <w:ind w:left="636" w:hanging="318"/>
        <w:jc w:val="both"/>
        <w:rPr>
          <w:rFonts w:asci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）对招标文件第二部分作出的书面响应，包括但不限于技术建议书、技术规格、技术参数、技术文件、商务要求等。</w:t>
      </w:r>
    </w:p>
    <w:p>
      <w:pPr>
        <w:spacing w:line="360" w:lineRule="auto"/>
        <w:ind w:left="466" w:hanging="466" w:hangingChars="221"/>
        <w:rPr>
          <w:rFonts w:ascii="宋体" w:cs="宋体"/>
          <w:b/>
          <w:color w:val="auto"/>
          <w:szCs w:val="21"/>
          <w:highlight w:val="none"/>
        </w:rPr>
      </w:pPr>
      <w:r>
        <w:rPr>
          <w:rFonts w:ascii="宋体" w:hAnsi="宋体" w:cs="宋体"/>
          <w:b/>
          <w:color w:val="auto"/>
          <w:szCs w:val="21"/>
          <w:highlight w:val="none"/>
        </w:rPr>
        <w:t xml:space="preserve">3. </w:t>
      </w:r>
      <w:r>
        <w:rPr>
          <w:rFonts w:hint="eastAsia" w:ascii="宋体" w:hAnsi="宋体" w:cs="宋体"/>
          <w:b/>
          <w:color w:val="auto"/>
          <w:szCs w:val="21"/>
          <w:highlight w:val="none"/>
        </w:rPr>
        <w:t>投标文件编制</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3.1</w:t>
      </w:r>
      <w:r>
        <w:rPr>
          <w:rFonts w:hint="eastAsia" w:ascii="宋体" w:hAnsi="宋体" w:cs="宋体"/>
          <w:color w:val="auto"/>
          <w:kern w:val="2"/>
          <w:szCs w:val="21"/>
          <w:highlight w:val="none"/>
        </w:rPr>
        <w:t>投标人应当对投标文件进行装订，对未经装订的投标文件可能发生的文件散落或缺损，由此产生的后果由投标人承担。</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 xml:space="preserve">3.2 </w:t>
      </w:r>
      <w:r>
        <w:rPr>
          <w:rFonts w:hint="eastAsia" w:ascii="宋体" w:hAnsi="宋体" w:cs="宋体"/>
          <w:color w:val="auto"/>
          <w:kern w:val="2"/>
          <w:szCs w:val="21"/>
          <w:highlight w:val="none"/>
        </w:rPr>
        <w:t>投标人应完整、真实、准确的填写招标文件中规定的所有内容。</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3.3</w:t>
      </w:r>
      <w:r>
        <w:rPr>
          <w:rFonts w:hint="eastAsia" w:ascii="宋体" w:hAnsi="宋体" w:cs="宋体"/>
          <w:color w:val="auto"/>
          <w:kern w:val="2"/>
          <w:szCs w:val="21"/>
          <w:highlight w:val="none"/>
        </w:rPr>
        <w:t>投标人必须对投标文件所提供的全部资料的真实性承担法律责任，并无条件接受采购人及政府采购监督管理部门等对其中任何资料进行核实的要求。</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3.4</w:t>
      </w:r>
      <w:r>
        <w:rPr>
          <w:rFonts w:hint="eastAsia" w:ascii="宋体" w:hAnsi="宋体" w:cs="宋体"/>
          <w:color w:val="auto"/>
          <w:kern w:val="2"/>
          <w:szCs w:val="21"/>
          <w:highlight w:val="none"/>
        </w:rPr>
        <w:t>如果因为投标人投标文件填报的内容不详，或没有提供招标文件中所要求的全部资料及数据，由此造成的后果，其责任由投标人承担。</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 xml:space="preserve">4. </w:t>
      </w:r>
      <w:r>
        <w:rPr>
          <w:rFonts w:hint="eastAsia" w:ascii="宋体" w:hAnsi="宋体" w:cs="宋体"/>
          <w:b/>
          <w:color w:val="auto"/>
          <w:kern w:val="2"/>
          <w:szCs w:val="21"/>
          <w:highlight w:val="none"/>
        </w:rPr>
        <w:t>投标报价</w:t>
      </w:r>
    </w:p>
    <w:p>
      <w:pPr>
        <w:spacing w:line="360" w:lineRule="auto"/>
        <w:ind w:left="420" w:hanging="420" w:hangingChars="200"/>
        <w:rPr>
          <w:rFonts w:ascii="宋体" w:cs="宋体"/>
          <w:color w:val="auto"/>
          <w:kern w:val="2"/>
          <w:szCs w:val="21"/>
          <w:highlight w:val="none"/>
        </w:rPr>
      </w:pPr>
      <w:r>
        <w:rPr>
          <w:rFonts w:ascii="宋体" w:hAnsi="宋体" w:cs="宋体"/>
          <w:color w:val="auto"/>
          <w:kern w:val="2"/>
          <w:szCs w:val="21"/>
          <w:highlight w:val="none"/>
        </w:rPr>
        <w:t>4.1</w:t>
      </w:r>
      <w:r>
        <w:rPr>
          <w:rFonts w:hint="eastAsia" w:ascii="宋体" w:hAnsi="宋体" w:cs="宋体"/>
          <w:color w:val="auto"/>
          <w:kern w:val="2"/>
          <w:szCs w:val="21"/>
          <w:highlight w:val="none"/>
        </w:rPr>
        <w:t>投标人所提供的货物和服务均应以人民币报价，若同时以人民币及外币报价的，以人民币报价为准。</w:t>
      </w:r>
    </w:p>
    <w:p>
      <w:pPr>
        <w:spacing w:line="360" w:lineRule="auto"/>
        <w:ind w:left="420" w:hanging="420" w:hangingChars="200"/>
        <w:rPr>
          <w:rFonts w:ascii="宋体" w:cs="宋体"/>
          <w:color w:val="auto"/>
          <w:szCs w:val="21"/>
          <w:highlight w:val="none"/>
        </w:rPr>
      </w:pPr>
      <w:r>
        <w:rPr>
          <w:rFonts w:ascii="宋体" w:hAnsi="宋体" w:cs="宋体"/>
          <w:color w:val="auto"/>
          <w:kern w:val="2"/>
          <w:szCs w:val="21"/>
          <w:highlight w:val="none"/>
        </w:rPr>
        <w:t>4.2</w:t>
      </w:r>
      <w:r>
        <w:rPr>
          <w:rFonts w:hint="eastAsia" w:ascii="宋体" w:hAnsi="宋体" w:cs="宋体"/>
          <w:color w:val="auto"/>
          <w:kern w:val="2"/>
          <w:szCs w:val="21"/>
          <w:highlight w:val="none"/>
        </w:rPr>
        <w:t>投标人应按照“第二部分用户需求书”</w:t>
      </w:r>
      <w:r>
        <w:rPr>
          <w:rFonts w:hint="eastAsia" w:ascii="宋体" w:hAnsi="宋体" w:cs="宋体"/>
          <w:color w:val="auto"/>
          <w:szCs w:val="21"/>
          <w:highlight w:val="none"/>
        </w:rPr>
        <w:t>中</w:t>
      </w:r>
      <w:r>
        <w:rPr>
          <w:rFonts w:hint="eastAsia" w:ascii="宋体" w:hAnsi="宋体" w:cs="宋体"/>
          <w:color w:val="auto"/>
          <w:szCs w:val="21"/>
          <w:highlight w:val="none"/>
          <w:lang w:eastAsia="zh-TW"/>
        </w:rPr>
        <w:t>采购项目技术规格、参数及要求规定的内容、责任范围进行报价</w:t>
      </w:r>
      <w:r>
        <w:rPr>
          <w:rFonts w:hint="eastAsia" w:ascii="宋体" w:hAnsi="宋体" w:cs="宋体"/>
          <w:color w:val="auto"/>
          <w:kern w:val="2"/>
          <w:szCs w:val="21"/>
          <w:highlight w:val="none"/>
        </w:rPr>
        <w:t>，并按</w:t>
      </w:r>
      <w:r>
        <w:rPr>
          <w:rFonts w:hint="eastAsia" w:ascii="宋体" w:hAnsi="宋体" w:cs="宋体"/>
          <w:color w:val="auto"/>
          <w:szCs w:val="21"/>
          <w:highlight w:val="none"/>
          <w:lang w:eastAsia="zh-TW"/>
        </w:rPr>
        <w:t>《</w:t>
      </w:r>
      <w:r>
        <w:rPr>
          <w:rFonts w:hint="eastAsia" w:ascii="宋体" w:hAnsi="宋体" w:cs="宋体"/>
          <w:color w:val="auto"/>
          <w:szCs w:val="21"/>
          <w:highlight w:val="none"/>
        </w:rPr>
        <w:t>开标一览表</w:t>
      </w:r>
      <w:r>
        <w:rPr>
          <w:rFonts w:hint="eastAsia" w:ascii="宋体" w:hAnsi="宋体" w:cs="宋体"/>
          <w:color w:val="auto"/>
          <w:szCs w:val="21"/>
          <w:highlight w:val="none"/>
          <w:lang w:eastAsia="zh-TW"/>
        </w:rPr>
        <w:t>》的</w:t>
      </w:r>
      <w:r>
        <w:rPr>
          <w:rFonts w:hint="eastAsia" w:ascii="宋体" w:hAnsi="宋体" w:cs="宋体"/>
          <w:color w:val="auto"/>
          <w:szCs w:val="21"/>
          <w:highlight w:val="none"/>
        </w:rPr>
        <w:t>要求</w:t>
      </w:r>
      <w:r>
        <w:rPr>
          <w:rFonts w:hint="eastAsia" w:ascii="宋体" w:hAnsi="宋体" w:cs="宋体"/>
          <w:color w:val="auto"/>
          <w:szCs w:val="21"/>
          <w:highlight w:val="none"/>
          <w:lang w:eastAsia="zh-TW"/>
        </w:rPr>
        <w:t>报</w:t>
      </w:r>
      <w:r>
        <w:rPr>
          <w:rFonts w:hint="eastAsia" w:ascii="宋体" w:hAnsi="宋体" w:cs="宋体"/>
          <w:color w:val="auto"/>
          <w:szCs w:val="21"/>
          <w:highlight w:val="none"/>
        </w:rPr>
        <w:t>价</w:t>
      </w:r>
      <w:r>
        <w:rPr>
          <w:rFonts w:hint="eastAsia" w:ascii="宋体" w:hAnsi="宋体" w:cs="宋体"/>
          <w:color w:val="auto"/>
          <w:kern w:val="2"/>
          <w:szCs w:val="21"/>
          <w:highlight w:val="none"/>
        </w:rPr>
        <w:t>。投标报价中不得包含招标文件要求以外的内容，否则，在评标时不予核减。投标总价中也不得出现重大缺漏招标文件所要求的内容，否则，其投标将可能被视为无效投标或确定为投标无效。</w:t>
      </w:r>
    </w:p>
    <w:p>
      <w:pPr>
        <w:spacing w:line="360" w:lineRule="auto"/>
        <w:rPr>
          <w:rFonts w:ascii="宋体" w:cs="宋体"/>
          <w:color w:val="auto"/>
          <w:szCs w:val="21"/>
          <w:highlight w:val="none"/>
        </w:rPr>
      </w:pPr>
      <w:r>
        <w:rPr>
          <w:rFonts w:ascii="宋体" w:hAnsi="宋体" w:cs="宋体"/>
          <w:color w:val="auto"/>
          <w:szCs w:val="21"/>
          <w:highlight w:val="none"/>
        </w:rPr>
        <w:t xml:space="preserve">4.3 </w:t>
      </w:r>
      <w:r>
        <w:rPr>
          <w:rFonts w:hint="eastAsia" w:ascii="宋体" w:hAnsi="宋体" w:cs="宋体"/>
          <w:color w:val="auto"/>
          <w:szCs w:val="21"/>
          <w:highlight w:val="none"/>
        </w:rPr>
        <w:t>投标人所报的投标价在合同执行过程中是固定不变的，不得以任何理由予以变更。任何包含价格调整要求的投标被认为是非实质性响应投标而予以拒绝。</w:t>
      </w:r>
    </w:p>
    <w:p>
      <w:pPr>
        <w:spacing w:line="360" w:lineRule="auto"/>
        <w:rPr>
          <w:rFonts w:ascii="宋体" w:cs="宋体"/>
          <w:color w:val="auto"/>
          <w:szCs w:val="21"/>
          <w:highlight w:val="none"/>
        </w:rPr>
      </w:pPr>
      <w:r>
        <w:rPr>
          <w:rFonts w:ascii="宋体" w:hAnsi="宋体" w:cs="宋体"/>
          <w:color w:val="auto"/>
          <w:szCs w:val="21"/>
          <w:highlight w:val="none"/>
        </w:rPr>
        <w:t xml:space="preserve">4.4 </w:t>
      </w:r>
      <w:r>
        <w:rPr>
          <w:rFonts w:hint="eastAsia" w:ascii="宋体" w:hAnsi="宋体" w:cs="宋体"/>
          <w:color w:val="auto"/>
          <w:szCs w:val="21"/>
          <w:highlight w:val="none"/>
        </w:rPr>
        <w:t>本次招标不接受选择性报价，否则将被视为无效投标。</w:t>
      </w:r>
    </w:p>
    <w:p>
      <w:pPr>
        <w:spacing w:line="360" w:lineRule="auto"/>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本次招标不接受具有附加条件的报价，否则将被视为无效投标。</w:t>
      </w:r>
    </w:p>
    <w:p>
      <w:pPr>
        <w:spacing w:line="360" w:lineRule="auto"/>
        <w:ind w:left="630" w:hanging="630" w:hangingChars="300"/>
        <w:rPr>
          <w:rFonts w:ascii="宋体" w:cs="宋体"/>
          <w:color w:val="auto"/>
          <w:szCs w:val="21"/>
          <w:highlight w:val="none"/>
        </w:rPr>
      </w:pPr>
      <w:r>
        <w:rPr>
          <w:rFonts w:ascii="宋体" w:hAnsi="宋体" w:cs="宋体"/>
          <w:color w:val="auto"/>
          <w:szCs w:val="21"/>
          <w:highlight w:val="none"/>
        </w:rPr>
        <w:t>4.6</w:t>
      </w:r>
      <w:r>
        <w:rPr>
          <w:rFonts w:hint="eastAsia" w:ascii="宋体" w:hAnsi="宋体"/>
          <w:b/>
          <w:bCs/>
          <w:color w:val="auto"/>
          <w:highlight w:val="none"/>
        </w:rPr>
        <w:t>本项目的预算为</w:t>
      </w:r>
      <w:r>
        <w:rPr>
          <w:rFonts w:hint="eastAsia" w:ascii="宋体" w:hAnsi="宋体"/>
          <w:b/>
          <w:bCs/>
          <w:color w:val="auto"/>
          <w:highlight w:val="none"/>
          <w:lang w:val="en-US" w:eastAsia="zh-CN"/>
        </w:rPr>
        <w:t>496586.15</w:t>
      </w:r>
      <w:r>
        <w:rPr>
          <w:rFonts w:hint="eastAsia" w:ascii="宋体" w:hAnsi="宋体"/>
          <w:b/>
          <w:bCs/>
          <w:color w:val="auto"/>
          <w:highlight w:val="none"/>
        </w:rPr>
        <w:t>元。</w:t>
      </w:r>
      <w:r>
        <w:rPr>
          <w:rFonts w:hint="eastAsia" w:ascii="宋体" w:hAnsi="宋体"/>
          <w:color w:val="auto"/>
          <w:highlight w:val="none"/>
        </w:rPr>
        <w:t>投标报价不得高于</w:t>
      </w:r>
      <w:r>
        <w:rPr>
          <w:rFonts w:hint="eastAsia" w:ascii="宋体" w:hAnsi="宋体"/>
          <w:b/>
          <w:bCs/>
          <w:color w:val="auto"/>
          <w:highlight w:val="none"/>
        </w:rPr>
        <w:t>采购预算价</w:t>
      </w:r>
      <w:r>
        <w:rPr>
          <w:rFonts w:hint="eastAsia" w:ascii="宋体" w:hAnsi="宋体"/>
          <w:color w:val="auto"/>
          <w:highlight w:val="none"/>
        </w:rPr>
        <w:t>，否则视为无效投标，作废标处理。</w:t>
      </w:r>
    </w:p>
    <w:p>
      <w:pPr>
        <w:spacing w:line="360" w:lineRule="auto"/>
        <w:rPr>
          <w:rFonts w:ascii="宋体" w:cs="宋体"/>
          <w:b/>
          <w:color w:val="auto"/>
          <w:szCs w:val="21"/>
          <w:highlight w:val="none"/>
        </w:rPr>
      </w:pPr>
      <w:r>
        <w:rPr>
          <w:rFonts w:ascii="宋体" w:hAnsi="宋体" w:cs="宋体"/>
          <w:b/>
          <w:color w:val="auto"/>
          <w:szCs w:val="21"/>
          <w:highlight w:val="none"/>
        </w:rPr>
        <w:t xml:space="preserve">5. </w:t>
      </w:r>
      <w:r>
        <w:rPr>
          <w:rFonts w:hint="eastAsia" w:ascii="宋体" w:hAnsi="宋体" w:cs="宋体"/>
          <w:b/>
          <w:color w:val="auto"/>
          <w:szCs w:val="21"/>
          <w:highlight w:val="none"/>
        </w:rPr>
        <w:t>备选方案</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5.1</w:t>
      </w:r>
      <w:r>
        <w:rPr>
          <w:rFonts w:hint="eastAsia" w:ascii="宋体" w:hAnsi="宋体" w:cs="宋体"/>
          <w:color w:val="auto"/>
          <w:kern w:val="2"/>
          <w:szCs w:val="21"/>
          <w:highlight w:val="none"/>
        </w:rPr>
        <w:t>只允许投标人有一个投标方案，否则将被视为无效投标。（招标文件允许有备选方案的除外）</w:t>
      </w:r>
    </w:p>
    <w:p>
      <w:pPr>
        <w:widowControl w:val="0"/>
        <w:adjustRightInd w:val="0"/>
        <w:snapToGrid w:val="0"/>
        <w:spacing w:line="360" w:lineRule="auto"/>
        <w:jc w:val="both"/>
        <w:rPr>
          <w:rFonts w:ascii="宋体" w:cs="宋体"/>
          <w:color w:val="auto"/>
          <w:kern w:val="2"/>
          <w:szCs w:val="21"/>
          <w:highlight w:val="none"/>
          <w:u w:val="single"/>
        </w:rPr>
      </w:pPr>
      <w:r>
        <w:rPr>
          <w:rFonts w:ascii="宋体" w:hAnsi="宋体" w:cs="宋体"/>
          <w:b/>
          <w:color w:val="auto"/>
          <w:kern w:val="2"/>
          <w:szCs w:val="21"/>
          <w:highlight w:val="none"/>
        </w:rPr>
        <w:t xml:space="preserve">6. </w:t>
      </w:r>
      <w:r>
        <w:rPr>
          <w:rFonts w:hint="eastAsia" w:ascii="宋体" w:hAnsi="宋体" w:cs="宋体"/>
          <w:b/>
          <w:color w:val="auto"/>
          <w:kern w:val="2"/>
          <w:szCs w:val="21"/>
          <w:highlight w:val="none"/>
        </w:rPr>
        <w:t>联合体投标</w:t>
      </w:r>
      <w:r>
        <w:rPr>
          <w:rFonts w:hint="eastAsia" w:ascii="宋体" w:hAnsi="宋体" w:cs="宋体"/>
          <w:b/>
          <w:color w:val="auto"/>
          <w:kern w:val="2"/>
          <w:szCs w:val="21"/>
          <w:highlight w:val="none"/>
          <w:u w:val="single"/>
        </w:rPr>
        <w:t>（本项目不接受联合体投标）</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6.1</w:t>
      </w:r>
      <w:r>
        <w:rPr>
          <w:rFonts w:hint="eastAsia" w:ascii="宋体" w:hAnsi="宋体" w:cs="宋体"/>
          <w:color w:val="auto"/>
          <w:kern w:val="2"/>
          <w:szCs w:val="21"/>
          <w:highlight w:val="none"/>
        </w:rPr>
        <w:t>如投标邀请允许联合体投标的，则必须满足：</w:t>
      </w:r>
    </w:p>
    <w:p>
      <w:pPr>
        <w:widowControl w:val="0"/>
        <w:adjustRightInd w:val="0"/>
        <w:snapToGrid w:val="0"/>
        <w:spacing w:line="360" w:lineRule="auto"/>
        <w:ind w:left="630" w:hanging="630" w:hangingChars="300"/>
        <w:jc w:val="both"/>
        <w:rPr>
          <w:rFonts w:ascii="宋体" w:cs="宋体"/>
          <w:color w:val="auto"/>
          <w:kern w:val="2"/>
          <w:szCs w:val="21"/>
          <w:highlight w:val="none"/>
        </w:rPr>
      </w:pPr>
      <w:r>
        <w:rPr>
          <w:rFonts w:ascii="宋体" w:hAnsi="宋体" w:cs="宋体"/>
          <w:color w:val="auto"/>
          <w:kern w:val="2"/>
          <w:szCs w:val="21"/>
          <w:highlight w:val="none"/>
        </w:rPr>
        <w:t>6.1.1</w:t>
      </w:r>
      <w:r>
        <w:rPr>
          <w:rFonts w:hint="eastAsia" w:ascii="宋体" w:hAnsi="宋体" w:cs="宋体"/>
          <w:color w:val="auto"/>
          <w:kern w:val="2"/>
          <w:szCs w:val="21"/>
          <w:highlight w:val="none"/>
        </w:rPr>
        <w:t>联合体投标的，必须提供各方签订的共同投标协议，明确约定各方承担的工作和相应的责任。联合体各方签订共同投标协议后，不得再以自己名义单独在同一项目中投标，也不得组成新的联合体参加同一项目投标；</w:t>
      </w:r>
    </w:p>
    <w:p>
      <w:pPr>
        <w:widowControl w:val="0"/>
        <w:adjustRightInd w:val="0"/>
        <w:snapToGrid w:val="0"/>
        <w:spacing w:line="360" w:lineRule="auto"/>
        <w:ind w:left="630" w:hanging="630" w:hangingChars="300"/>
        <w:jc w:val="both"/>
        <w:rPr>
          <w:rFonts w:ascii="宋体" w:cs="宋体"/>
          <w:color w:val="auto"/>
          <w:kern w:val="2"/>
          <w:szCs w:val="21"/>
          <w:highlight w:val="none"/>
        </w:rPr>
      </w:pPr>
      <w:r>
        <w:rPr>
          <w:rFonts w:ascii="宋体" w:hAnsi="宋体" w:cs="宋体"/>
          <w:color w:val="auto"/>
          <w:kern w:val="2"/>
          <w:szCs w:val="21"/>
          <w:highlight w:val="none"/>
        </w:rPr>
        <w:t>6.1.2</w:t>
      </w:r>
      <w:r>
        <w:rPr>
          <w:rFonts w:hint="eastAsia" w:ascii="宋体" w:hAnsi="宋体" w:cs="宋体"/>
          <w:color w:val="auto"/>
          <w:kern w:val="2"/>
          <w:szCs w:val="21"/>
          <w:highlight w:val="none"/>
        </w:rPr>
        <w:t>联合体投标的，由联合体中的主体方负责提交投标保证金，提交的投标保证金对联合体各方均具有约束力；</w:t>
      </w:r>
    </w:p>
    <w:p>
      <w:pPr>
        <w:widowControl w:val="0"/>
        <w:adjustRightInd w:val="0"/>
        <w:snapToGrid w:val="0"/>
        <w:spacing w:line="360" w:lineRule="auto"/>
        <w:ind w:left="630" w:hanging="630" w:hangingChars="300"/>
        <w:jc w:val="both"/>
        <w:rPr>
          <w:rFonts w:ascii="宋体" w:cs="宋体"/>
          <w:color w:val="auto"/>
          <w:kern w:val="2"/>
          <w:szCs w:val="21"/>
          <w:highlight w:val="none"/>
        </w:rPr>
      </w:pPr>
      <w:r>
        <w:rPr>
          <w:rFonts w:ascii="宋体" w:hAnsi="宋体" w:cs="宋体"/>
          <w:color w:val="auto"/>
          <w:kern w:val="2"/>
          <w:szCs w:val="21"/>
          <w:highlight w:val="none"/>
        </w:rPr>
        <w:t>6.1.3</w:t>
      </w:r>
      <w:r>
        <w:rPr>
          <w:rFonts w:hint="eastAsia" w:ascii="宋体" w:hAnsi="宋体" w:cs="宋体"/>
          <w:color w:val="auto"/>
          <w:kern w:val="2"/>
          <w:szCs w:val="21"/>
          <w:highlight w:val="none"/>
        </w:rPr>
        <w:t>联合体中标的，联合体各方应当共同与采购人签订合同，并就中标项目向采购人负有连带的和各自的法律责任；</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6.1.4</w:t>
      </w:r>
      <w:r>
        <w:rPr>
          <w:rFonts w:hint="eastAsia" w:ascii="宋体" w:hAnsi="宋体" w:cs="宋体"/>
          <w:color w:val="auto"/>
          <w:kern w:val="2"/>
          <w:szCs w:val="21"/>
          <w:highlight w:val="none"/>
        </w:rPr>
        <w:t>招标文件要求投标人签名、盖章的，均由联合体主体方负责签名、盖章。</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 xml:space="preserve">7. </w:t>
      </w:r>
      <w:r>
        <w:rPr>
          <w:rFonts w:hint="eastAsia" w:ascii="宋体" w:hAnsi="宋体" w:cs="宋体"/>
          <w:b/>
          <w:color w:val="auto"/>
          <w:kern w:val="2"/>
          <w:szCs w:val="21"/>
          <w:highlight w:val="none"/>
        </w:rPr>
        <w:t>投标人相关证明文件</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7.1</w:t>
      </w:r>
      <w:r>
        <w:rPr>
          <w:rFonts w:hint="eastAsia" w:ascii="宋体" w:hAnsi="宋体" w:cs="宋体"/>
          <w:color w:val="auto"/>
          <w:kern w:val="2"/>
          <w:szCs w:val="21"/>
          <w:highlight w:val="none"/>
        </w:rPr>
        <w:t>投标人应提交证明其有资格参加投标和中标后有能力履行合同的文件，以及证明其拟供的合同项下的货物和服务的合格性符合招标文件规定的文件，并作为其投标文件的一部分。</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7.2</w:t>
      </w:r>
      <w:r>
        <w:rPr>
          <w:rFonts w:hint="eastAsia" w:ascii="宋体" w:hAnsi="宋体" w:cs="宋体"/>
          <w:color w:val="auto"/>
          <w:kern w:val="2"/>
          <w:szCs w:val="21"/>
          <w:highlight w:val="none"/>
        </w:rPr>
        <w:t>投标人提交的中标后履行合同的资格证明文件应满足招标文件中对资格证明文件的要求。</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7.3</w:t>
      </w:r>
      <w:r>
        <w:rPr>
          <w:rFonts w:hint="eastAsia" w:ascii="宋体" w:hAnsi="宋体" w:cs="宋体"/>
          <w:color w:val="auto"/>
          <w:kern w:val="2"/>
          <w:szCs w:val="21"/>
          <w:highlight w:val="none"/>
        </w:rPr>
        <w:t>证明货物和服务与招标文件的要求相一致的文件，可以是文字资料、图纸，包括货物的主要指标、性能和验收的详细说明。</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7.4</w:t>
      </w:r>
      <w:r>
        <w:rPr>
          <w:rFonts w:hint="eastAsia" w:ascii="宋体" w:hAnsi="宋体" w:cs="宋体"/>
          <w:color w:val="auto"/>
          <w:kern w:val="2"/>
          <w:szCs w:val="21"/>
          <w:highlight w:val="none"/>
        </w:rPr>
        <w:t>证明文件必须真实有效，复印件必须加盖单位公章。</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8.</w:t>
      </w:r>
      <w:r>
        <w:rPr>
          <w:rFonts w:hint="eastAsia" w:ascii="宋体" w:hAnsi="宋体" w:cs="宋体"/>
          <w:b/>
          <w:color w:val="auto"/>
          <w:kern w:val="2"/>
          <w:szCs w:val="21"/>
          <w:highlight w:val="none"/>
        </w:rPr>
        <w:t>证明投标标的的合格性和符合招标文件规定的文件：</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8.1</w:t>
      </w:r>
      <w:r>
        <w:rPr>
          <w:rFonts w:hint="eastAsia" w:ascii="宋体" w:hAnsi="宋体" w:cs="宋体"/>
          <w:color w:val="auto"/>
          <w:kern w:val="2"/>
          <w:szCs w:val="21"/>
          <w:highlight w:val="none"/>
        </w:rPr>
        <w:t>证明货物及相关服务与招标文件的要求相一致的文件，可以是文字资料、图纸、数据和实物，包括如下各项：</w:t>
      </w:r>
    </w:p>
    <w:p>
      <w:pPr>
        <w:widowControl w:val="0"/>
        <w:adjustRightInd w:val="0"/>
        <w:snapToGrid w:val="0"/>
        <w:spacing w:line="360" w:lineRule="auto"/>
        <w:ind w:firstLine="315" w:firstLineChars="150"/>
        <w:jc w:val="both"/>
        <w:rPr>
          <w:rFonts w:ascii="宋体"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1</w:t>
      </w:r>
      <w:r>
        <w:rPr>
          <w:rFonts w:hint="eastAsia" w:ascii="宋体" w:hAnsi="宋体" w:cs="宋体"/>
          <w:color w:val="auto"/>
          <w:kern w:val="2"/>
          <w:szCs w:val="21"/>
          <w:highlight w:val="none"/>
        </w:rPr>
        <w:t>）货物的型号、规格；</w:t>
      </w:r>
    </w:p>
    <w:p>
      <w:pPr>
        <w:widowControl w:val="0"/>
        <w:adjustRightInd w:val="0"/>
        <w:snapToGrid w:val="0"/>
        <w:spacing w:line="360" w:lineRule="auto"/>
        <w:ind w:left="840" w:leftChars="150" w:hanging="525" w:hangingChars="250"/>
        <w:jc w:val="both"/>
        <w:rPr>
          <w:rFonts w:ascii="宋体"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2</w:t>
      </w:r>
      <w:r>
        <w:rPr>
          <w:rFonts w:hint="eastAsia" w:ascii="宋体" w:hAnsi="宋体" w:cs="宋体"/>
          <w:color w:val="auto"/>
          <w:kern w:val="2"/>
          <w:szCs w:val="21"/>
          <w:highlight w:val="none"/>
        </w:rPr>
        <w:t>）货物主要技术指标和性能的详细说明，如果招标文件有要求，投标人须提供有关部门出具的检验报告；</w:t>
      </w:r>
    </w:p>
    <w:p>
      <w:pPr>
        <w:widowControl w:val="0"/>
        <w:adjustRightInd w:val="0"/>
        <w:snapToGrid w:val="0"/>
        <w:spacing w:line="360" w:lineRule="auto"/>
        <w:ind w:left="846" w:leftChars="133" w:hanging="567" w:hangingChars="270"/>
        <w:jc w:val="both"/>
        <w:rPr>
          <w:rFonts w:ascii="宋体"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3</w:t>
      </w:r>
      <w:r>
        <w:rPr>
          <w:rFonts w:hint="eastAsia" w:ascii="宋体" w:hAnsi="宋体" w:cs="宋体"/>
          <w:color w:val="auto"/>
          <w:kern w:val="2"/>
          <w:szCs w:val="21"/>
          <w:highlight w:val="none"/>
        </w:rPr>
        <w:t>）详细的合同项下提供货物及服务的执行时间表及其实施措施，明确标注出影响合同执行的关键时间及因素；</w:t>
      </w:r>
    </w:p>
    <w:p>
      <w:pPr>
        <w:widowControl w:val="0"/>
        <w:adjustRightInd w:val="0"/>
        <w:snapToGrid w:val="0"/>
        <w:spacing w:line="360" w:lineRule="auto"/>
        <w:ind w:left="846" w:leftChars="133" w:hanging="567" w:hangingChars="270"/>
        <w:jc w:val="both"/>
        <w:rPr>
          <w:rFonts w:ascii="宋体"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4</w:t>
      </w:r>
      <w:r>
        <w:rPr>
          <w:rFonts w:hint="eastAsia" w:ascii="宋体" w:hAnsi="宋体" w:cs="宋体"/>
          <w:color w:val="auto"/>
          <w:kern w:val="2"/>
          <w:szCs w:val="21"/>
          <w:highlight w:val="none"/>
        </w:rPr>
        <w:t>）采购人在招标文件规定的期间内正常、连续地使用货物所必需的备品、专用工具的清单，包括其货源及现行价格。</w:t>
      </w:r>
    </w:p>
    <w:p>
      <w:pPr>
        <w:widowControl w:val="0"/>
        <w:adjustRightInd w:val="0"/>
        <w:snapToGrid w:val="0"/>
        <w:spacing w:line="360" w:lineRule="auto"/>
        <w:ind w:left="846" w:leftChars="133" w:hanging="567" w:hangingChars="270"/>
        <w:jc w:val="both"/>
        <w:rPr>
          <w:rFonts w:ascii="宋体"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5</w:t>
      </w:r>
      <w:r>
        <w:rPr>
          <w:rFonts w:hint="eastAsia" w:ascii="宋体" w:hAnsi="宋体" w:cs="宋体"/>
          <w:color w:val="auto"/>
          <w:kern w:val="2"/>
          <w:szCs w:val="21"/>
          <w:highlight w:val="none"/>
        </w:rPr>
        <w:t>）对照招标文件要求的技术规格，投标人逐条说明所提供的货物及相关服务已对招标文件中的技术规格作出了实质性的响应；或申明与技术规格条文的偏差和例外。特别对于有具体参数要求的指标，投标人必须提供所投货物的具体参数值。</w:t>
      </w:r>
    </w:p>
    <w:p>
      <w:pPr>
        <w:widowControl w:val="0"/>
        <w:adjustRightInd w:val="0"/>
        <w:snapToGrid w:val="0"/>
        <w:spacing w:line="360" w:lineRule="auto"/>
        <w:ind w:left="420" w:hanging="420" w:hangingChars="200"/>
        <w:jc w:val="both"/>
        <w:rPr>
          <w:rFonts w:ascii="宋体" w:cs="宋体"/>
          <w:b/>
          <w:color w:val="auto"/>
          <w:kern w:val="2"/>
          <w:szCs w:val="21"/>
          <w:highlight w:val="none"/>
        </w:rPr>
      </w:pPr>
      <w:r>
        <w:rPr>
          <w:rFonts w:ascii="宋体" w:hAnsi="宋体" w:cs="宋体"/>
          <w:color w:val="auto"/>
          <w:kern w:val="2"/>
          <w:szCs w:val="21"/>
          <w:highlight w:val="none"/>
        </w:rPr>
        <w:t>8.2</w:t>
      </w:r>
      <w:r>
        <w:rPr>
          <w:rFonts w:hint="eastAsia" w:ascii="宋体" w:hAnsi="宋体" w:cs="宋体"/>
          <w:color w:val="auto"/>
          <w:kern w:val="2"/>
          <w:szCs w:val="21"/>
          <w:highlight w:val="none"/>
        </w:rPr>
        <w:t>投标人在阐述本须知第</w:t>
      </w:r>
      <w:r>
        <w:rPr>
          <w:rFonts w:ascii="宋体" w:hAnsi="宋体" w:cs="宋体"/>
          <w:color w:val="auto"/>
          <w:kern w:val="2"/>
          <w:szCs w:val="21"/>
          <w:highlight w:val="none"/>
        </w:rPr>
        <w:t>8.1</w:t>
      </w:r>
      <w:r>
        <w:rPr>
          <w:rFonts w:hint="eastAsia" w:ascii="宋体" w:hAnsi="宋体" w:cs="宋体"/>
          <w:color w:val="auto"/>
          <w:kern w:val="2"/>
          <w:szCs w:val="21"/>
          <w:highlight w:val="none"/>
        </w:rPr>
        <w:t>（</w:t>
      </w:r>
      <w:r>
        <w:rPr>
          <w:rFonts w:ascii="宋体" w:hAnsi="宋体" w:cs="宋体"/>
          <w:color w:val="auto"/>
          <w:kern w:val="2"/>
          <w:szCs w:val="21"/>
          <w:highlight w:val="none"/>
        </w:rPr>
        <w:t>2</w:t>
      </w:r>
      <w:r>
        <w:rPr>
          <w:rFonts w:hint="eastAsia" w:ascii="宋体" w:hAnsi="宋体" w:cs="宋体"/>
          <w:color w:val="auto"/>
          <w:kern w:val="2"/>
          <w:szCs w:val="21"/>
          <w:highlight w:val="none"/>
        </w:rPr>
        <w:t>）条要求的货物主要技术指标和性能时应注意：招标文件在技术规格中指出的工艺、材料和设备标准以及参照的牌号或分类号仅起说明作用，并没有任何限制性。投标人在投标中可以选用替代标准、牌号或分类号，但这些替代要实质上相当（或优）于技术规格的要求。</w:t>
      </w:r>
    </w:p>
    <w:p>
      <w:pPr>
        <w:widowControl w:val="0"/>
        <w:adjustRightInd w:val="0"/>
        <w:snapToGrid w:val="0"/>
        <w:spacing w:line="360" w:lineRule="auto"/>
        <w:ind w:left="422" w:hanging="422" w:hangingChars="200"/>
        <w:jc w:val="both"/>
        <w:rPr>
          <w:rFonts w:ascii="宋体" w:cs="宋体"/>
          <w:b/>
          <w:color w:val="auto"/>
          <w:kern w:val="2"/>
          <w:szCs w:val="21"/>
          <w:highlight w:val="none"/>
        </w:rPr>
      </w:pPr>
      <w:r>
        <w:rPr>
          <w:rFonts w:ascii="宋体" w:hAnsi="宋体" w:cs="宋体"/>
          <w:b/>
          <w:color w:val="auto"/>
          <w:kern w:val="2"/>
          <w:szCs w:val="21"/>
          <w:highlight w:val="none"/>
        </w:rPr>
        <w:t>9.</w:t>
      </w:r>
      <w:r>
        <w:rPr>
          <w:rFonts w:hint="eastAsia" w:ascii="宋体" w:hAnsi="宋体" w:cs="宋体"/>
          <w:b/>
          <w:color w:val="auto"/>
          <w:kern w:val="2"/>
          <w:szCs w:val="21"/>
          <w:highlight w:val="none"/>
        </w:rPr>
        <w:t>投标保证金</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9.1</w:t>
      </w:r>
      <w:r>
        <w:rPr>
          <w:rFonts w:hint="eastAsia" w:ascii="宋体" w:hAnsi="宋体" w:cs="宋体"/>
          <w:color w:val="auto"/>
          <w:kern w:val="2"/>
          <w:szCs w:val="21"/>
          <w:highlight w:val="none"/>
        </w:rPr>
        <w:t>投标人应按招标文件规定的金额和期限交纳投标保证金，投标保证金作为投标文件的组成部分。</w:t>
      </w:r>
    </w:p>
    <w:p>
      <w:pPr>
        <w:spacing w:line="360" w:lineRule="auto"/>
        <w:rPr>
          <w:rFonts w:ascii="宋体" w:hAnsi="宋体" w:cs="宋体"/>
          <w:color w:val="auto"/>
          <w:szCs w:val="21"/>
          <w:highlight w:val="none"/>
        </w:rPr>
      </w:pPr>
      <w:r>
        <w:rPr>
          <w:rFonts w:hint="eastAsia" w:ascii="宋体" w:hAnsi="宋体" w:cs="宋体"/>
          <w:b/>
          <w:color w:val="auto"/>
          <w:kern w:val="2"/>
          <w:szCs w:val="21"/>
          <w:highlight w:val="none"/>
        </w:rPr>
        <w:t>★</w:t>
      </w:r>
      <w:r>
        <w:rPr>
          <w:rFonts w:ascii="宋体" w:hAnsi="宋体" w:cs="宋体"/>
          <w:b/>
          <w:color w:val="auto"/>
          <w:kern w:val="2"/>
          <w:szCs w:val="21"/>
          <w:highlight w:val="none"/>
        </w:rPr>
        <w:t>9.2</w:t>
      </w:r>
      <w:r>
        <w:rPr>
          <w:rFonts w:hint="eastAsia" w:ascii="宋体" w:hAnsi="宋体" w:cs="宋体"/>
          <w:color w:val="auto"/>
          <w:szCs w:val="21"/>
          <w:highlight w:val="none"/>
        </w:rPr>
        <w:t>符合资格的供应商应在</w:t>
      </w:r>
      <w:r>
        <w:rPr>
          <w:rFonts w:hint="eastAsia" w:ascii="宋体" w:hAnsi="宋体" w:cs="宋体"/>
          <w:color w:val="auto"/>
          <w:szCs w:val="21"/>
          <w:highlight w:val="none"/>
          <w:lang w:eastAsia="zh-CN"/>
        </w:rPr>
        <w:t>投标截止时间</w:t>
      </w:r>
      <w:r>
        <w:rPr>
          <w:rFonts w:hint="eastAsia" w:ascii="宋体" w:hAnsi="宋体" w:cs="宋体"/>
          <w:color w:val="auto"/>
          <w:szCs w:val="21"/>
          <w:highlight w:val="none"/>
        </w:rPr>
        <w:t>前缴纳投标保证金</w:t>
      </w:r>
      <w:r>
        <w:rPr>
          <w:rFonts w:hint="eastAsia" w:cs="宋体"/>
          <w:color w:val="auto"/>
          <w:szCs w:val="21"/>
          <w:highlight w:val="none"/>
        </w:rPr>
        <w:t>（</w:t>
      </w:r>
      <w:r>
        <w:rPr>
          <w:rFonts w:hint="eastAsia" w:ascii="宋体" w:hAnsi="宋体" w:cs="宋体"/>
          <w:color w:val="auto"/>
          <w:szCs w:val="21"/>
          <w:highlight w:val="none"/>
        </w:rPr>
        <w:t>￥</w:t>
      </w:r>
      <w:r>
        <w:rPr>
          <w:rStyle w:val="58"/>
          <w:rFonts w:hint="eastAsia" w:ascii="宋体" w:hAnsi="宋体" w:cs="宋体"/>
          <w:color w:val="auto"/>
          <w:szCs w:val="21"/>
          <w:highlight w:val="none"/>
          <w:lang w:val="en-US" w:eastAsia="zh-CN"/>
        </w:rPr>
        <w:t>9</w:t>
      </w:r>
      <w:r>
        <w:rPr>
          <w:rStyle w:val="58"/>
          <w:rFonts w:hint="eastAsia" w:ascii="宋体" w:hAnsi="宋体" w:cs="宋体"/>
          <w:color w:val="auto"/>
          <w:szCs w:val="21"/>
          <w:highlight w:val="none"/>
        </w:rPr>
        <w:t>000.00元</w:t>
      </w:r>
      <w:r>
        <w:rPr>
          <w:rStyle w:val="58"/>
          <w:rFonts w:hint="eastAsia" w:cs="宋体"/>
          <w:color w:val="auto"/>
          <w:szCs w:val="21"/>
          <w:highlight w:val="none"/>
        </w:rPr>
        <w:t>），</w:t>
      </w:r>
      <w:r>
        <w:rPr>
          <w:rFonts w:hint="eastAsia" w:ascii="宋体" w:hAnsi="宋体" w:cs="宋体"/>
          <w:color w:val="auto"/>
          <w:szCs w:val="21"/>
          <w:highlight w:val="none"/>
        </w:rPr>
        <w:t>并成功到达指定帐户。</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9.3</w:t>
      </w:r>
      <w:r>
        <w:rPr>
          <w:rFonts w:hint="eastAsia" w:ascii="宋体" w:hAnsi="宋体" w:cs="宋体"/>
          <w:color w:val="auto"/>
          <w:kern w:val="2"/>
          <w:szCs w:val="21"/>
          <w:highlight w:val="none"/>
        </w:rPr>
        <w:t>凡未按规定交纳投标保证金的投标，为无效投标。</w:t>
      </w:r>
    </w:p>
    <w:p>
      <w:pPr>
        <w:widowControl w:val="0"/>
        <w:adjustRightInd w:val="0"/>
        <w:snapToGrid w:val="0"/>
        <w:spacing w:line="360" w:lineRule="auto"/>
        <w:ind w:left="420" w:hanging="420" w:hangingChars="200"/>
        <w:jc w:val="both"/>
        <w:rPr>
          <w:rFonts w:ascii="宋体" w:cs="宋体"/>
          <w:color w:val="auto"/>
          <w:kern w:val="2"/>
          <w:szCs w:val="21"/>
          <w:highlight w:val="none"/>
        </w:rPr>
      </w:pPr>
      <w:r>
        <w:rPr>
          <w:rFonts w:ascii="宋体" w:hAnsi="宋体" w:cs="宋体"/>
          <w:color w:val="auto"/>
          <w:kern w:val="2"/>
          <w:szCs w:val="21"/>
          <w:highlight w:val="none"/>
        </w:rPr>
        <w:t>9.4</w:t>
      </w:r>
      <w:r>
        <w:rPr>
          <w:rFonts w:hint="eastAsia" w:ascii="宋体" w:hAnsi="宋体" w:cs="宋体"/>
          <w:color w:val="auto"/>
          <w:kern w:val="2"/>
          <w:szCs w:val="21"/>
          <w:highlight w:val="none"/>
        </w:rPr>
        <w:t>投标保证金的退还</w:t>
      </w:r>
    </w:p>
    <w:p>
      <w:pPr>
        <w:widowControl w:val="0"/>
        <w:adjustRightInd w:val="0"/>
        <w:snapToGrid w:val="0"/>
        <w:spacing w:line="360" w:lineRule="auto"/>
        <w:ind w:left="630" w:hanging="630" w:hangingChars="300"/>
        <w:jc w:val="both"/>
        <w:rPr>
          <w:rFonts w:ascii="宋体" w:cs="宋体"/>
          <w:color w:val="auto"/>
          <w:kern w:val="2"/>
          <w:szCs w:val="21"/>
          <w:highlight w:val="none"/>
        </w:rPr>
      </w:pPr>
      <w:r>
        <w:rPr>
          <w:rFonts w:ascii="宋体" w:hAnsi="宋体" w:cs="宋体"/>
          <w:color w:val="auto"/>
          <w:kern w:val="2"/>
          <w:szCs w:val="21"/>
          <w:highlight w:val="none"/>
        </w:rPr>
        <w:t>9.4.1</w:t>
      </w:r>
      <w:r>
        <w:rPr>
          <w:rFonts w:hint="eastAsia" w:ascii="宋体" w:hAnsi="宋体" w:cs="宋体"/>
          <w:color w:val="auto"/>
          <w:kern w:val="2"/>
          <w:szCs w:val="21"/>
          <w:highlight w:val="none"/>
        </w:rPr>
        <w:t>如无质疑或投诉，未中标的投标人保证金，在中标通知书发出后</w:t>
      </w:r>
      <w:r>
        <w:rPr>
          <w:rFonts w:ascii="宋体" w:hAnsi="宋体" w:cs="宋体"/>
          <w:color w:val="auto"/>
          <w:kern w:val="2"/>
          <w:szCs w:val="21"/>
          <w:highlight w:val="none"/>
        </w:rPr>
        <w:t>5</w:t>
      </w:r>
      <w:r>
        <w:rPr>
          <w:rFonts w:hint="eastAsia" w:ascii="宋体" w:hAnsi="宋体" w:cs="宋体"/>
          <w:color w:val="auto"/>
          <w:kern w:val="2"/>
          <w:szCs w:val="21"/>
          <w:highlight w:val="none"/>
        </w:rPr>
        <w:t>个工作日内退还；如有质疑或投诉，将在质疑和投诉处理完毕后退还。</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9.4.2</w:t>
      </w:r>
      <w:r>
        <w:rPr>
          <w:rFonts w:hint="eastAsia" w:ascii="宋体" w:hAnsi="宋体" w:cs="宋体"/>
          <w:color w:val="auto"/>
          <w:kern w:val="2"/>
          <w:szCs w:val="21"/>
          <w:highlight w:val="none"/>
        </w:rPr>
        <w:t>自采购合同签订之日起</w:t>
      </w:r>
      <w:r>
        <w:rPr>
          <w:rFonts w:ascii="宋体" w:hAnsi="宋体" w:cs="宋体"/>
          <w:color w:val="auto"/>
          <w:kern w:val="2"/>
          <w:szCs w:val="21"/>
          <w:highlight w:val="none"/>
        </w:rPr>
        <w:t>5</w:t>
      </w:r>
      <w:r>
        <w:rPr>
          <w:rFonts w:hint="eastAsia" w:ascii="宋体" w:hAnsi="宋体" w:cs="宋体"/>
          <w:color w:val="auto"/>
          <w:kern w:val="2"/>
          <w:szCs w:val="21"/>
          <w:highlight w:val="none"/>
        </w:rPr>
        <w:t>个工作日内退还中标人的投标保证金，退还投标保证金须同时满足以下要求：</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9.4.2.</w:t>
      </w:r>
      <w:r>
        <w:rPr>
          <w:rFonts w:hint="eastAsia" w:ascii="宋体" w:hAnsi="宋体" w:cs="宋体"/>
          <w:color w:val="auto"/>
          <w:kern w:val="2"/>
          <w:szCs w:val="21"/>
          <w:highlight w:val="none"/>
        </w:rPr>
        <w:t>1</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中标人将该合同原件送达政府采购代理机构。</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9.5</w:t>
      </w:r>
      <w:r>
        <w:rPr>
          <w:rFonts w:hint="eastAsia" w:ascii="宋体" w:hAnsi="宋体" w:cs="宋体"/>
          <w:color w:val="auto"/>
          <w:kern w:val="2"/>
          <w:szCs w:val="21"/>
          <w:highlight w:val="none"/>
        </w:rPr>
        <w:t>若中标人未按要求送达采购合同的，由此造成的后果由中标人负责。</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9.6</w:t>
      </w:r>
      <w:r>
        <w:rPr>
          <w:rFonts w:hint="eastAsia" w:ascii="宋体" w:hAnsi="宋体" w:cs="宋体"/>
          <w:color w:val="auto"/>
          <w:kern w:val="2"/>
          <w:szCs w:val="21"/>
          <w:highlight w:val="none"/>
        </w:rPr>
        <w:t>有下列情形之一的，投标保证金将被依法没收并上缴同级国库：</w:t>
      </w:r>
    </w:p>
    <w:p>
      <w:pPr>
        <w:widowControl w:val="0"/>
        <w:adjustRightInd w:val="0"/>
        <w:snapToGrid w:val="0"/>
        <w:spacing w:line="360" w:lineRule="auto"/>
        <w:ind w:firstLine="371" w:firstLineChars="177"/>
        <w:jc w:val="both"/>
        <w:rPr>
          <w:rFonts w:ascii="宋体" w:cs="宋体"/>
          <w:color w:val="auto"/>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1</w:t>
      </w:r>
      <w:r>
        <w:rPr>
          <w:rFonts w:hint="eastAsia" w:ascii="宋体" w:hAnsi="宋体" w:cs="宋体"/>
          <w:color w:val="auto"/>
          <w:kern w:val="2"/>
          <w:szCs w:val="21"/>
          <w:highlight w:val="none"/>
        </w:rPr>
        <w:t>）</w:t>
      </w:r>
      <w:r>
        <w:rPr>
          <w:rFonts w:hint="eastAsia" w:ascii="宋体" w:hAnsi="宋体" w:cs="宋体"/>
          <w:color w:val="auto"/>
          <w:szCs w:val="21"/>
          <w:highlight w:val="none"/>
        </w:rPr>
        <w:t>投标有效期内投标人撤销投标文件的；</w:t>
      </w:r>
    </w:p>
    <w:p>
      <w:pPr>
        <w:tabs>
          <w:tab w:val="left" w:pos="425"/>
          <w:tab w:val="left" w:pos="567"/>
        </w:tabs>
        <w:autoSpaceDE w:val="0"/>
        <w:autoSpaceDN w:val="0"/>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2</w:t>
      </w:r>
      <w:r>
        <w:rPr>
          <w:rFonts w:hint="eastAsia" w:ascii="宋体" w:hAnsi="宋体" w:cs="宋体"/>
          <w:color w:val="auto"/>
          <w:kern w:val="2"/>
          <w:szCs w:val="21"/>
          <w:highlight w:val="none"/>
        </w:rPr>
        <w:t>）</w:t>
      </w:r>
      <w:r>
        <w:rPr>
          <w:rFonts w:hint="eastAsia" w:ascii="宋体" w:hAnsi="宋体" w:cs="宋体"/>
          <w:color w:val="auto"/>
          <w:szCs w:val="21"/>
          <w:highlight w:val="none"/>
        </w:rPr>
        <w:t>法律法规规定的其他情况。</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 xml:space="preserve">10. </w:t>
      </w:r>
      <w:r>
        <w:rPr>
          <w:rFonts w:hint="eastAsia" w:ascii="宋体" w:hAnsi="宋体" w:cs="宋体"/>
          <w:b/>
          <w:color w:val="auto"/>
          <w:kern w:val="2"/>
          <w:szCs w:val="21"/>
          <w:highlight w:val="none"/>
        </w:rPr>
        <w:t>投标的截止期</w:t>
      </w:r>
    </w:p>
    <w:p>
      <w:pPr>
        <w:widowControl w:val="0"/>
        <w:adjustRightInd w:val="0"/>
        <w:snapToGrid w:val="0"/>
        <w:spacing w:line="360" w:lineRule="auto"/>
        <w:ind w:left="525" w:hanging="525" w:hangingChars="250"/>
        <w:jc w:val="both"/>
        <w:rPr>
          <w:rFonts w:ascii="宋体" w:cs="宋体"/>
          <w:color w:val="auto"/>
          <w:kern w:val="2"/>
          <w:szCs w:val="21"/>
          <w:highlight w:val="none"/>
        </w:rPr>
      </w:pPr>
      <w:r>
        <w:rPr>
          <w:rFonts w:ascii="宋体" w:hAnsi="宋体" w:cs="宋体"/>
          <w:color w:val="auto"/>
          <w:kern w:val="2"/>
          <w:szCs w:val="21"/>
          <w:highlight w:val="none"/>
        </w:rPr>
        <w:t>10.1</w:t>
      </w:r>
      <w:r>
        <w:rPr>
          <w:rFonts w:hint="eastAsia" w:ascii="宋体" w:hAnsi="宋体" w:cs="宋体"/>
          <w:color w:val="auto"/>
          <w:kern w:val="2"/>
          <w:szCs w:val="21"/>
          <w:highlight w:val="none"/>
        </w:rPr>
        <w:t>投标的截止时间见第一部分《投标邀请函》的规定，在截止时间后送达或者未送达指定地点的投标文件，为无效投标文件，政府采购代理机构将拒收。</w:t>
      </w:r>
    </w:p>
    <w:p>
      <w:pPr>
        <w:widowControl w:val="0"/>
        <w:adjustRightInd w:val="0"/>
        <w:snapToGrid w:val="0"/>
        <w:spacing w:line="360" w:lineRule="auto"/>
        <w:ind w:left="525" w:hanging="525" w:hangingChars="250"/>
        <w:jc w:val="both"/>
        <w:rPr>
          <w:rFonts w:ascii="宋体" w:cs="宋体"/>
          <w:color w:val="auto"/>
          <w:kern w:val="2"/>
          <w:szCs w:val="21"/>
          <w:highlight w:val="none"/>
        </w:rPr>
      </w:pPr>
      <w:r>
        <w:rPr>
          <w:rFonts w:ascii="宋体" w:hAnsi="宋体" w:cs="宋体"/>
          <w:color w:val="auto"/>
          <w:kern w:val="2"/>
          <w:szCs w:val="21"/>
          <w:highlight w:val="none"/>
        </w:rPr>
        <w:t>10.2</w:t>
      </w:r>
      <w:r>
        <w:rPr>
          <w:rFonts w:hint="eastAsia" w:ascii="宋体" w:hAnsi="宋体" w:cs="宋体"/>
          <w:color w:val="auto"/>
          <w:kern w:val="2"/>
          <w:szCs w:val="21"/>
          <w:highlight w:val="none"/>
        </w:rPr>
        <w:t>政府采购代理机构可视具体情况延长投标截止时间和开标时间。在推迟了投标截止时间的情况下，政府采购代理机构、采购人和投标人受投标截止时间制约的所有权利和义务均应延长至新的截止时间。</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11.</w:t>
      </w:r>
      <w:r>
        <w:rPr>
          <w:rFonts w:hint="eastAsia" w:ascii="宋体" w:hAnsi="宋体" w:cs="宋体"/>
          <w:b/>
          <w:color w:val="auto"/>
          <w:kern w:val="2"/>
          <w:szCs w:val="21"/>
          <w:highlight w:val="none"/>
        </w:rPr>
        <w:t>投标有效期</w:t>
      </w:r>
    </w:p>
    <w:p>
      <w:pPr>
        <w:widowControl w:val="0"/>
        <w:adjustRightInd w:val="0"/>
        <w:snapToGrid w:val="0"/>
        <w:spacing w:line="360" w:lineRule="auto"/>
        <w:jc w:val="both"/>
        <w:rPr>
          <w:rFonts w:ascii="宋体" w:cs="宋体"/>
          <w:b/>
          <w:color w:val="auto"/>
          <w:kern w:val="2"/>
          <w:szCs w:val="21"/>
          <w:highlight w:val="none"/>
          <w:u w:val="single"/>
        </w:rPr>
      </w:pPr>
      <w:r>
        <w:rPr>
          <w:rFonts w:ascii="宋体" w:hAnsi="宋体" w:cs="宋体"/>
          <w:b/>
          <w:color w:val="auto"/>
          <w:kern w:val="2"/>
          <w:szCs w:val="21"/>
          <w:highlight w:val="none"/>
          <w:u w:val="single"/>
        </w:rPr>
        <w:t>11.1</w:t>
      </w:r>
      <w:r>
        <w:rPr>
          <w:rFonts w:hint="eastAsia" w:ascii="宋体" w:hAnsi="宋体" w:cs="宋体"/>
          <w:b/>
          <w:color w:val="auto"/>
          <w:kern w:val="2"/>
          <w:szCs w:val="21"/>
          <w:highlight w:val="none"/>
          <w:u w:val="single"/>
        </w:rPr>
        <w:t>投标应自投标截止时间起</w:t>
      </w:r>
      <w:r>
        <w:rPr>
          <w:rFonts w:ascii="宋体" w:hAnsi="宋体" w:cs="宋体"/>
          <w:b/>
          <w:color w:val="auto"/>
          <w:kern w:val="2"/>
          <w:szCs w:val="21"/>
          <w:highlight w:val="none"/>
          <w:u w:val="single"/>
        </w:rPr>
        <w:t>90</w:t>
      </w:r>
      <w:r>
        <w:rPr>
          <w:rFonts w:hint="eastAsia" w:ascii="宋体" w:hAnsi="宋体" w:cs="宋体"/>
          <w:b/>
          <w:color w:val="auto"/>
          <w:kern w:val="2"/>
          <w:szCs w:val="21"/>
          <w:highlight w:val="none"/>
          <w:u w:val="single"/>
        </w:rPr>
        <w:t>天内有效。</w:t>
      </w:r>
    </w:p>
    <w:p>
      <w:pPr>
        <w:widowControl w:val="0"/>
        <w:adjustRightInd w:val="0"/>
        <w:snapToGrid w:val="0"/>
        <w:spacing w:line="360" w:lineRule="auto"/>
        <w:ind w:left="525" w:hanging="525" w:hangingChars="250"/>
        <w:jc w:val="both"/>
        <w:rPr>
          <w:rFonts w:ascii="宋体" w:cs="宋体"/>
          <w:color w:val="auto"/>
          <w:kern w:val="2"/>
          <w:szCs w:val="21"/>
          <w:highlight w:val="none"/>
        </w:rPr>
      </w:pPr>
      <w:r>
        <w:rPr>
          <w:rFonts w:ascii="宋体" w:hAnsi="宋体" w:cs="宋体"/>
          <w:color w:val="auto"/>
          <w:kern w:val="2"/>
          <w:szCs w:val="21"/>
          <w:highlight w:val="none"/>
        </w:rPr>
        <w:t>11.2</w:t>
      </w:r>
      <w:r>
        <w:rPr>
          <w:rFonts w:hint="eastAsia" w:ascii="宋体" w:hAnsi="宋体" w:cs="宋体"/>
          <w:color w:val="auto"/>
          <w:kern w:val="2"/>
          <w:szCs w:val="21"/>
          <w:highlight w:val="none"/>
        </w:rPr>
        <w:t>中标人投标有效期则顺延至项目完成验收之日，在此有效期内未经采购人同意，投标文件的一切内容和补充承诺均为持续有效且不予改变。</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11.3</w:t>
      </w:r>
      <w:r>
        <w:rPr>
          <w:rFonts w:hint="eastAsia" w:ascii="宋体" w:hAnsi="宋体" w:cs="宋体"/>
          <w:color w:val="auto"/>
          <w:kern w:val="2"/>
          <w:szCs w:val="21"/>
          <w:highlight w:val="none"/>
        </w:rPr>
        <w:t>投标有效期比规定期限短的将被视为非实质性响应招标文件。</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color w:val="auto"/>
          <w:kern w:val="2"/>
          <w:szCs w:val="21"/>
          <w:highlight w:val="none"/>
        </w:rPr>
        <w:t>11.4</w:t>
      </w:r>
      <w:r>
        <w:rPr>
          <w:rFonts w:hint="eastAsia" w:ascii="宋体" w:hAnsi="宋体" w:cs="宋体"/>
          <w:color w:val="auto"/>
          <w:kern w:val="2"/>
          <w:szCs w:val="21"/>
          <w:highlight w:val="none"/>
        </w:rPr>
        <w:t>特殊情况下，在原投标有效期截止之前，采购人可要求投标人延长投标有效期。此要求与答复均应以书面形式提交。投标人拒绝延长投标有效期的，其投标保证金将予以退还，其投标在原投标有效期期满后将失效。同意延长投标有效期的，有关退还和没收投标保证金在投标有效期的延长期内继续有效。</w:t>
      </w:r>
      <w:r>
        <w:rPr>
          <w:rFonts w:ascii="宋体" w:hAnsi="宋体" w:cs="宋体"/>
          <w:b/>
          <w:color w:val="auto"/>
          <w:kern w:val="2"/>
          <w:szCs w:val="21"/>
          <w:highlight w:val="none"/>
        </w:rPr>
        <w:t xml:space="preserve">12. </w:t>
      </w:r>
      <w:r>
        <w:rPr>
          <w:rFonts w:hint="eastAsia" w:ascii="宋体" w:hAnsi="宋体" w:cs="宋体"/>
          <w:b/>
          <w:color w:val="auto"/>
          <w:kern w:val="2"/>
          <w:szCs w:val="21"/>
          <w:highlight w:val="none"/>
        </w:rPr>
        <w:t>投标文件的数量和签署</w:t>
      </w:r>
    </w:p>
    <w:p>
      <w:pPr>
        <w:widowControl w:val="0"/>
        <w:adjustRightInd w:val="0"/>
        <w:snapToGrid w:val="0"/>
        <w:spacing w:line="360" w:lineRule="auto"/>
        <w:ind w:left="723" w:hanging="723" w:hangingChars="343"/>
        <w:jc w:val="both"/>
        <w:rPr>
          <w:rFonts w:ascii="宋体" w:cs="宋体"/>
          <w:b/>
          <w:color w:val="auto"/>
          <w:kern w:val="2"/>
          <w:szCs w:val="21"/>
          <w:highlight w:val="none"/>
        </w:rPr>
      </w:pPr>
      <w:r>
        <w:rPr>
          <w:rFonts w:ascii="宋体" w:hAnsi="宋体" w:cs="宋体"/>
          <w:b/>
          <w:color w:val="auto"/>
          <w:kern w:val="2"/>
          <w:szCs w:val="21"/>
          <w:highlight w:val="none"/>
        </w:rPr>
        <w:t>12.1</w:t>
      </w:r>
      <w:r>
        <w:rPr>
          <w:rFonts w:hint="eastAsia" w:ascii="宋体" w:hAnsi="宋体" w:cs="宋体"/>
          <w:b/>
          <w:color w:val="auto"/>
          <w:kern w:val="2"/>
          <w:szCs w:val="21"/>
          <w:highlight w:val="none"/>
        </w:rPr>
        <w:t>投标人应编制投标文件正本一份（</w:t>
      </w:r>
      <w:r>
        <w:rPr>
          <w:rFonts w:hint="eastAsia" w:hAnsi="宋体"/>
          <w:b/>
          <w:color w:val="auto"/>
          <w:szCs w:val="21"/>
          <w:highlight w:val="none"/>
        </w:rPr>
        <w:t>含与投标文件内容相同的电子投标文件</w:t>
      </w:r>
      <w:r>
        <w:rPr>
          <w:rFonts w:hAnsi="宋体"/>
          <w:b/>
          <w:color w:val="auto"/>
          <w:szCs w:val="21"/>
          <w:highlight w:val="none"/>
        </w:rPr>
        <w:t>U</w:t>
      </w:r>
      <w:r>
        <w:rPr>
          <w:rFonts w:hint="eastAsia" w:hAnsi="宋体"/>
          <w:b/>
          <w:color w:val="auto"/>
          <w:szCs w:val="21"/>
          <w:highlight w:val="none"/>
        </w:rPr>
        <w:t>盘</w:t>
      </w:r>
      <w:r>
        <w:rPr>
          <w:rFonts w:hAnsi="宋体"/>
          <w:b/>
          <w:color w:val="auto"/>
          <w:szCs w:val="21"/>
          <w:highlight w:val="none"/>
        </w:rPr>
        <w:t>/</w:t>
      </w:r>
      <w:r>
        <w:rPr>
          <w:rFonts w:hint="eastAsia" w:hAnsi="宋体"/>
          <w:b/>
          <w:color w:val="auto"/>
          <w:szCs w:val="21"/>
          <w:highlight w:val="none"/>
        </w:rPr>
        <w:t>光盘一份</w:t>
      </w:r>
      <w:r>
        <w:rPr>
          <w:rFonts w:hint="eastAsia" w:ascii="宋体" w:hAnsi="宋体" w:cs="宋体"/>
          <w:b/>
          <w:color w:val="auto"/>
          <w:kern w:val="2"/>
          <w:szCs w:val="21"/>
          <w:highlight w:val="none"/>
        </w:rPr>
        <w:t>）和副本四份。</w:t>
      </w:r>
    </w:p>
    <w:p>
      <w:pPr>
        <w:widowControl w:val="0"/>
        <w:adjustRightInd w:val="0"/>
        <w:snapToGrid w:val="0"/>
        <w:spacing w:line="360" w:lineRule="auto"/>
        <w:ind w:left="525" w:hanging="525" w:hangingChars="250"/>
        <w:jc w:val="both"/>
        <w:rPr>
          <w:rFonts w:ascii="宋体" w:cs="宋体"/>
          <w:color w:val="auto"/>
          <w:kern w:val="2"/>
          <w:szCs w:val="21"/>
          <w:highlight w:val="none"/>
        </w:rPr>
      </w:pPr>
      <w:r>
        <w:rPr>
          <w:rFonts w:ascii="宋体" w:hAnsi="宋体" w:cs="宋体"/>
          <w:color w:val="auto"/>
          <w:kern w:val="2"/>
          <w:szCs w:val="21"/>
          <w:highlight w:val="none"/>
        </w:rPr>
        <w:t>12.2</w:t>
      </w:r>
      <w:r>
        <w:rPr>
          <w:rFonts w:hint="eastAsia" w:ascii="宋体" w:hAnsi="宋体" w:cs="宋体"/>
          <w:b/>
          <w:color w:val="auto"/>
          <w:kern w:val="2"/>
          <w:szCs w:val="21"/>
          <w:highlight w:val="none"/>
          <w:u w:val="single"/>
        </w:rPr>
        <w:t>电子投标文件</w:t>
      </w:r>
      <w:r>
        <w:rPr>
          <w:rFonts w:ascii="宋体" w:hAnsi="宋体" w:cs="宋体"/>
          <w:b/>
          <w:color w:val="auto"/>
          <w:kern w:val="2"/>
          <w:szCs w:val="21"/>
          <w:highlight w:val="none"/>
          <w:u w:val="single"/>
        </w:rPr>
        <w:t>U</w:t>
      </w:r>
      <w:r>
        <w:rPr>
          <w:rFonts w:hint="eastAsia" w:ascii="宋体" w:hAnsi="宋体" w:cs="宋体"/>
          <w:b/>
          <w:color w:val="auto"/>
          <w:kern w:val="2"/>
          <w:szCs w:val="21"/>
          <w:highlight w:val="none"/>
          <w:u w:val="single"/>
        </w:rPr>
        <w:t>盘</w:t>
      </w:r>
      <w:r>
        <w:rPr>
          <w:rFonts w:ascii="宋体" w:hAnsi="宋体" w:cs="宋体"/>
          <w:b/>
          <w:color w:val="auto"/>
          <w:kern w:val="2"/>
          <w:szCs w:val="21"/>
          <w:highlight w:val="none"/>
          <w:u w:val="single"/>
        </w:rPr>
        <w:t>/</w:t>
      </w:r>
      <w:r>
        <w:rPr>
          <w:rFonts w:hint="eastAsia" w:ascii="宋体" w:hAnsi="宋体" w:cs="宋体"/>
          <w:b/>
          <w:color w:val="auto"/>
          <w:kern w:val="2"/>
          <w:szCs w:val="21"/>
          <w:highlight w:val="none"/>
          <w:u w:val="single"/>
        </w:rPr>
        <w:t>光盘封面注明公司名称和项目编号</w:t>
      </w:r>
      <w:r>
        <w:rPr>
          <w:rFonts w:hint="eastAsia" w:ascii="宋体" w:hAnsi="宋体" w:cs="宋体"/>
          <w:color w:val="auto"/>
          <w:kern w:val="2"/>
          <w:szCs w:val="21"/>
          <w:highlight w:val="none"/>
        </w:rPr>
        <w:t>。电子文件内容应与投标人打印产生的纸质投标文件内容一致，如有不同，以纸质投标文件为准。</w:t>
      </w:r>
    </w:p>
    <w:p>
      <w:pPr>
        <w:widowControl w:val="0"/>
        <w:adjustRightInd w:val="0"/>
        <w:snapToGrid w:val="0"/>
        <w:spacing w:line="360" w:lineRule="auto"/>
        <w:ind w:left="525" w:hanging="525" w:hangingChars="250"/>
        <w:jc w:val="both"/>
        <w:rPr>
          <w:rFonts w:ascii="宋体" w:cs="宋体"/>
          <w:color w:val="auto"/>
          <w:kern w:val="2"/>
          <w:szCs w:val="21"/>
          <w:highlight w:val="none"/>
        </w:rPr>
      </w:pPr>
      <w:r>
        <w:rPr>
          <w:rFonts w:ascii="宋体" w:hAnsi="宋体" w:cs="宋体"/>
          <w:color w:val="auto"/>
          <w:kern w:val="2"/>
          <w:szCs w:val="21"/>
          <w:highlight w:val="none"/>
        </w:rPr>
        <w:t>12.3</w:t>
      </w:r>
      <w:r>
        <w:rPr>
          <w:rFonts w:hint="eastAsia" w:ascii="宋体" w:hAnsi="宋体" w:cs="宋体"/>
          <w:color w:val="auto"/>
          <w:kern w:val="2"/>
          <w:szCs w:val="21"/>
          <w:highlight w:val="none"/>
        </w:rPr>
        <w:t>投标文件的副本可采用正本的复印件。每套投标文件须清楚地标明“正本”、“副本”。若副本与正本不符，以正本为准。</w:t>
      </w:r>
    </w:p>
    <w:p>
      <w:pPr>
        <w:widowControl w:val="0"/>
        <w:adjustRightInd w:val="0"/>
        <w:snapToGrid w:val="0"/>
        <w:spacing w:line="360" w:lineRule="auto"/>
        <w:jc w:val="both"/>
        <w:rPr>
          <w:rFonts w:ascii="宋体" w:cs="宋体"/>
          <w:b/>
          <w:color w:val="auto"/>
          <w:kern w:val="2"/>
          <w:szCs w:val="21"/>
          <w:highlight w:val="none"/>
          <w:u w:val="single"/>
        </w:rPr>
      </w:pPr>
      <w:r>
        <w:rPr>
          <w:rFonts w:ascii="宋体" w:hAnsi="宋体" w:cs="宋体"/>
          <w:b/>
          <w:color w:val="auto"/>
          <w:kern w:val="2"/>
          <w:szCs w:val="21"/>
          <w:highlight w:val="none"/>
          <w:u w:val="single"/>
        </w:rPr>
        <w:t>12.4</w:t>
      </w:r>
      <w:r>
        <w:rPr>
          <w:rFonts w:hint="eastAsia" w:ascii="宋体" w:hAnsi="宋体" w:cs="宋体"/>
          <w:b/>
          <w:color w:val="auto"/>
          <w:kern w:val="2"/>
          <w:szCs w:val="21"/>
          <w:highlight w:val="none"/>
          <w:u w:val="single"/>
        </w:rPr>
        <w:t>投标文件的正本及所有副本的封面均须由投标人加盖投标人公章。</w:t>
      </w:r>
    </w:p>
    <w:p>
      <w:pPr>
        <w:widowControl w:val="0"/>
        <w:adjustRightInd w:val="0"/>
        <w:snapToGrid w:val="0"/>
        <w:spacing w:line="360" w:lineRule="auto"/>
        <w:ind w:left="525" w:hanging="525" w:hangingChars="250"/>
        <w:jc w:val="both"/>
        <w:rPr>
          <w:rFonts w:ascii="宋体" w:cs="宋体"/>
          <w:color w:val="auto"/>
          <w:kern w:val="2"/>
          <w:szCs w:val="21"/>
          <w:highlight w:val="none"/>
        </w:rPr>
      </w:pPr>
      <w:r>
        <w:rPr>
          <w:rFonts w:ascii="宋体" w:hAnsi="宋体" w:cs="宋体"/>
          <w:color w:val="auto"/>
          <w:kern w:val="2"/>
          <w:szCs w:val="21"/>
          <w:highlight w:val="none"/>
        </w:rPr>
        <w:t>12.5</w:t>
      </w:r>
      <w:r>
        <w:rPr>
          <w:rFonts w:hint="eastAsia" w:ascii="宋体" w:hAnsi="宋体" w:cs="宋体"/>
          <w:color w:val="auto"/>
          <w:kern w:val="2"/>
          <w:szCs w:val="21"/>
          <w:highlight w:val="none"/>
        </w:rPr>
        <w:t>投标文件的正本需打印或用不褪色墨水书写，并由法定代表人或经其正式授权的代表签字。授权代表须出具书面授权证明及法定代表人资格证明书，其《法定代表人资格证明书》、《法定代表人授权委托书》都应附在投标文件中。</w:t>
      </w:r>
    </w:p>
    <w:p>
      <w:pPr>
        <w:widowControl w:val="0"/>
        <w:adjustRightInd w:val="0"/>
        <w:snapToGrid w:val="0"/>
        <w:spacing w:line="360" w:lineRule="auto"/>
        <w:ind w:left="723" w:hanging="723" w:hangingChars="343"/>
        <w:jc w:val="both"/>
        <w:rPr>
          <w:rFonts w:ascii="宋体" w:cs="宋体"/>
          <w:b/>
          <w:color w:val="auto"/>
          <w:kern w:val="2"/>
          <w:szCs w:val="21"/>
          <w:highlight w:val="none"/>
          <w:u w:val="single"/>
        </w:rPr>
      </w:pPr>
      <w:r>
        <w:rPr>
          <w:rFonts w:ascii="宋体" w:hAnsi="宋体" w:cs="宋体"/>
          <w:b/>
          <w:color w:val="auto"/>
          <w:kern w:val="2"/>
          <w:szCs w:val="21"/>
          <w:highlight w:val="none"/>
          <w:u w:val="single"/>
        </w:rPr>
        <w:t>12.6</w:t>
      </w:r>
      <w:r>
        <w:rPr>
          <w:rFonts w:hint="eastAsia" w:ascii="宋体" w:hAnsi="宋体" w:cs="宋体"/>
          <w:b/>
          <w:color w:val="auto"/>
          <w:kern w:val="2"/>
          <w:szCs w:val="21"/>
          <w:highlight w:val="none"/>
          <w:u w:val="single"/>
        </w:rPr>
        <w:t>在招标文件中已明示需盖章及签名之处，投标文件正本须由投标人加盖投标人公章，并经投标人法定代表人或其授权代表签名</w:t>
      </w:r>
      <w:r>
        <w:rPr>
          <w:rFonts w:hint="eastAsia" w:ascii="宋体" w:hAnsi="宋体" w:cs="宋体"/>
          <w:b/>
          <w:color w:val="auto"/>
          <w:szCs w:val="21"/>
          <w:highlight w:val="none"/>
          <w:u w:val="single"/>
        </w:rPr>
        <w:t>或盖章</w:t>
      </w:r>
      <w:r>
        <w:rPr>
          <w:rFonts w:hint="eastAsia" w:ascii="宋体" w:hAnsi="宋体" w:cs="宋体"/>
          <w:b/>
          <w:color w:val="auto"/>
          <w:kern w:val="2"/>
          <w:szCs w:val="21"/>
          <w:highlight w:val="none"/>
          <w:u w:val="single"/>
        </w:rPr>
        <w:t>。</w:t>
      </w:r>
    </w:p>
    <w:p>
      <w:pPr>
        <w:widowControl w:val="0"/>
        <w:adjustRightInd w:val="0"/>
        <w:snapToGrid w:val="0"/>
        <w:spacing w:line="360" w:lineRule="auto"/>
        <w:ind w:left="525" w:hanging="525" w:hangingChars="250"/>
        <w:jc w:val="both"/>
        <w:rPr>
          <w:rFonts w:ascii="宋体" w:cs="宋体"/>
          <w:color w:val="auto"/>
          <w:kern w:val="2"/>
          <w:szCs w:val="21"/>
          <w:highlight w:val="none"/>
        </w:rPr>
      </w:pPr>
      <w:r>
        <w:rPr>
          <w:rFonts w:ascii="宋体" w:hAnsi="宋体" w:cs="宋体"/>
          <w:color w:val="auto"/>
          <w:kern w:val="2"/>
          <w:szCs w:val="21"/>
          <w:highlight w:val="none"/>
        </w:rPr>
        <w:t xml:space="preserve">12.7 </w:t>
      </w:r>
      <w:r>
        <w:rPr>
          <w:rFonts w:hint="eastAsia" w:ascii="宋体" w:hAnsi="宋体" w:cs="宋体"/>
          <w:color w:val="auto"/>
          <w:kern w:val="2"/>
          <w:szCs w:val="21"/>
          <w:highlight w:val="none"/>
        </w:rPr>
        <w:t>投标文件中的任何行间的插字、涂改和增删，必须由法定代表人或经其正式授权的代表在旁边签字才有效。</w:t>
      </w:r>
    </w:p>
    <w:p>
      <w:pPr>
        <w:widowControl w:val="0"/>
        <w:adjustRightInd w:val="0"/>
        <w:snapToGrid w:val="0"/>
        <w:spacing w:line="360" w:lineRule="auto"/>
        <w:ind w:left="525" w:hanging="525" w:hangingChars="250"/>
        <w:jc w:val="both"/>
        <w:rPr>
          <w:rFonts w:ascii="宋体" w:cs="宋体"/>
          <w:color w:val="auto"/>
          <w:kern w:val="2"/>
          <w:szCs w:val="21"/>
          <w:highlight w:val="none"/>
        </w:rPr>
      </w:pPr>
      <w:r>
        <w:rPr>
          <w:rFonts w:ascii="宋体" w:hAnsi="宋体" w:cs="宋体"/>
          <w:color w:val="auto"/>
          <w:kern w:val="2"/>
          <w:szCs w:val="21"/>
          <w:highlight w:val="none"/>
        </w:rPr>
        <w:t>12.8</w:t>
      </w:r>
      <w:r>
        <w:rPr>
          <w:rFonts w:hint="eastAsia" w:ascii="宋体" w:hAnsi="宋体" w:cs="宋体"/>
          <w:color w:val="auto"/>
          <w:kern w:val="2"/>
          <w:szCs w:val="21"/>
          <w:highlight w:val="none"/>
        </w:rPr>
        <w:t>若为联合体的，除“联合体协议书”及“法定代表人授权委托书”外，投标文件的其它内容可由联合体主办方进行签署即可。</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12.9</w:t>
      </w:r>
      <w:r>
        <w:rPr>
          <w:rFonts w:hint="eastAsia" w:ascii="宋体" w:hAnsi="宋体" w:cs="宋体"/>
          <w:color w:val="auto"/>
          <w:kern w:val="2"/>
          <w:szCs w:val="21"/>
          <w:highlight w:val="none"/>
        </w:rPr>
        <w:t>电报、电话、传真形式的投标文件概不接受。</w:t>
      </w:r>
    </w:p>
    <w:p>
      <w:pPr>
        <w:widowControl w:val="0"/>
        <w:adjustRightInd w:val="0"/>
        <w:snapToGrid w:val="0"/>
        <w:spacing w:line="360" w:lineRule="auto"/>
        <w:jc w:val="both"/>
        <w:rPr>
          <w:rFonts w:ascii="宋体" w:cs="宋体"/>
          <w:color w:val="auto"/>
          <w:kern w:val="2"/>
          <w:szCs w:val="21"/>
          <w:highlight w:val="none"/>
        </w:rPr>
      </w:pPr>
      <w:r>
        <w:rPr>
          <w:rFonts w:ascii="宋体" w:hAnsi="宋体" w:cs="宋体"/>
          <w:color w:val="auto"/>
          <w:kern w:val="2"/>
          <w:szCs w:val="21"/>
          <w:highlight w:val="none"/>
        </w:rPr>
        <w:t>12.10</w:t>
      </w:r>
      <w:r>
        <w:rPr>
          <w:rFonts w:hint="eastAsia" w:ascii="宋体" w:hAnsi="宋体" w:cs="宋体"/>
          <w:color w:val="auto"/>
          <w:kern w:val="2"/>
          <w:szCs w:val="21"/>
          <w:highlight w:val="none"/>
        </w:rPr>
        <w:t>如招标文件要求提供原件查验的，请投标人附原件清单。</w:t>
      </w:r>
    </w:p>
    <w:p>
      <w:pPr>
        <w:autoSpaceDE w:val="0"/>
        <w:autoSpaceDN w:val="0"/>
        <w:adjustRightInd w:val="0"/>
        <w:snapToGrid w:val="0"/>
        <w:spacing w:line="360" w:lineRule="auto"/>
        <w:ind w:left="422" w:right="32" w:hanging="422" w:hangingChars="200"/>
        <w:rPr>
          <w:rFonts w:ascii="宋体" w:cs="宋体"/>
          <w:b/>
          <w:color w:val="auto"/>
          <w:szCs w:val="21"/>
          <w:highlight w:val="none"/>
        </w:rPr>
      </w:pPr>
      <w:r>
        <w:rPr>
          <w:rFonts w:hint="eastAsia" w:ascii="宋体" w:hAnsi="宋体" w:cs="宋体"/>
          <w:b/>
          <w:color w:val="auto"/>
          <w:szCs w:val="21"/>
          <w:highlight w:val="none"/>
        </w:rPr>
        <w:t>四、投标文件的递交</w:t>
      </w:r>
    </w:p>
    <w:p>
      <w:pPr>
        <w:autoSpaceDE w:val="0"/>
        <w:autoSpaceDN w:val="0"/>
        <w:adjustRightInd w:val="0"/>
        <w:snapToGrid w:val="0"/>
        <w:spacing w:line="360" w:lineRule="auto"/>
        <w:ind w:left="422" w:right="32" w:hanging="422" w:hangingChars="200"/>
        <w:rPr>
          <w:rFonts w:ascii="宋体" w:cs="宋体"/>
          <w:b/>
          <w:color w:val="auto"/>
          <w:szCs w:val="21"/>
          <w:highlight w:val="none"/>
        </w:rPr>
      </w:pPr>
      <w:r>
        <w:rPr>
          <w:rFonts w:ascii="宋体" w:hAnsi="宋体" w:cs="宋体"/>
          <w:b/>
          <w:color w:val="auto"/>
          <w:szCs w:val="21"/>
          <w:highlight w:val="none"/>
        </w:rPr>
        <w:t xml:space="preserve">1. </w:t>
      </w:r>
      <w:r>
        <w:rPr>
          <w:rFonts w:hint="eastAsia" w:ascii="宋体" w:hAnsi="宋体" w:cs="宋体"/>
          <w:b/>
          <w:color w:val="auto"/>
          <w:szCs w:val="21"/>
          <w:highlight w:val="none"/>
        </w:rPr>
        <w:t>投标文件的密封和标记</w:t>
      </w:r>
    </w:p>
    <w:p>
      <w:pPr>
        <w:tabs>
          <w:tab w:val="left" w:pos="840"/>
        </w:tabs>
        <w:snapToGrid w:val="0"/>
        <w:spacing w:line="360" w:lineRule="auto"/>
        <w:ind w:left="620" w:hanging="620" w:hangingChars="294"/>
        <w:jc w:val="both"/>
        <w:rPr>
          <w:rFonts w:ascii="宋体" w:cs="宋体"/>
          <w:b/>
          <w:color w:val="auto"/>
          <w:szCs w:val="21"/>
          <w:highlight w:val="none"/>
          <w:u w:val="single"/>
        </w:rPr>
      </w:pPr>
      <w:r>
        <w:rPr>
          <w:rFonts w:ascii="宋体" w:hAnsi="宋体" w:cs="宋体"/>
          <w:b/>
          <w:color w:val="auto"/>
          <w:szCs w:val="21"/>
          <w:highlight w:val="none"/>
          <w:u w:val="single"/>
        </w:rPr>
        <w:t>1.1</w:t>
      </w:r>
      <w:r>
        <w:rPr>
          <w:rFonts w:hint="eastAsia" w:ascii="宋体" w:hAnsi="宋体" w:cs="宋体"/>
          <w:b/>
          <w:color w:val="auto"/>
          <w:szCs w:val="21"/>
          <w:highlight w:val="none"/>
          <w:u w:val="single"/>
        </w:rPr>
        <w:t>正本一份和电子投标文件一起封装，副本四份一起封装，在每一封口处加盖公章，并在封套上清晰标明“正本”、“副本”字样。</w:t>
      </w:r>
    </w:p>
    <w:p>
      <w:pPr>
        <w:tabs>
          <w:tab w:val="left" w:pos="840"/>
        </w:tabs>
        <w:snapToGrid w:val="0"/>
        <w:spacing w:line="360" w:lineRule="auto"/>
        <w:jc w:val="both"/>
        <w:rPr>
          <w:rFonts w:ascii="宋体" w:cs="宋体"/>
          <w:color w:val="auto"/>
          <w:szCs w:val="21"/>
          <w:highlight w:val="none"/>
        </w:rPr>
      </w:pPr>
      <w:r>
        <w:rPr>
          <w:rFonts w:ascii="宋体" w:hAnsi="宋体" w:cs="宋体"/>
          <w:color w:val="auto"/>
          <w:szCs w:val="21"/>
          <w:highlight w:val="none"/>
        </w:rPr>
        <w:t xml:space="preserve">1.2 </w:t>
      </w:r>
      <w:r>
        <w:rPr>
          <w:rFonts w:hint="eastAsia" w:ascii="宋体" w:hAnsi="宋体" w:cs="宋体"/>
          <w:color w:val="auto"/>
          <w:szCs w:val="21"/>
          <w:highlight w:val="none"/>
        </w:rPr>
        <w:t>封套上均应按以下要求标记：</w:t>
      </w:r>
    </w:p>
    <w:p>
      <w:pPr>
        <w:snapToGrid w:val="0"/>
        <w:spacing w:line="360" w:lineRule="auto"/>
        <w:ind w:firstLine="386" w:firstLineChars="184"/>
        <w:jc w:val="both"/>
        <w:rPr>
          <w:rFonts w:hint="eastAsia" w:ascii="宋体" w:eastAsia="宋体" w:cs="宋体"/>
          <w:color w:val="auto"/>
          <w:szCs w:val="21"/>
          <w:highlight w:val="none"/>
          <w:lang w:eastAsia="zh-CN"/>
        </w:rPr>
      </w:pPr>
      <w:r>
        <w:rPr>
          <w:rFonts w:hint="eastAsia" w:ascii="宋体" w:hAnsi="宋体" w:cs="宋体"/>
          <w:color w:val="auto"/>
          <w:szCs w:val="21"/>
          <w:highlight w:val="none"/>
        </w:rPr>
        <w:t>“递交：</w:t>
      </w:r>
      <w:r>
        <w:rPr>
          <w:rFonts w:hint="eastAsia" w:ascii="宋体" w:hAnsi="宋体" w:cs="宋体"/>
          <w:color w:val="auto"/>
          <w:szCs w:val="21"/>
          <w:highlight w:val="none"/>
          <w:lang w:eastAsia="zh-CN"/>
        </w:rPr>
        <w:t>中山市建业建筑工程监理有限公司</w:t>
      </w:r>
    </w:p>
    <w:p>
      <w:pPr>
        <w:spacing w:line="360" w:lineRule="auto"/>
        <w:ind w:firstLine="386" w:firstLineChars="184"/>
        <w:jc w:val="both"/>
        <w:rPr>
          <w:rFonts w:asci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采购代理编号：</w:t>
      </w:r>
      <w:r>
        <w:rPr>
          <w:rFonts w:hint="eastAsia" w:ascii="宋体" w:hAnsi="宋体" w:cs="宋体"/>
          <w:color w:val="auto"/>
          <w:szCs w:val="21"/>
          <w:highlight w:val="none"/>
          <w:u w:val="single"/>
        </w:rPr>
        <w:t>（项目编号）</w:t>
      </w:r>
    </w:p>
    <w:p>
      <w:pPr>
        <w:spacing w:line="360" w:lineRule="auto"/>
        <w:ind w:firstLine="386" w:firstLineChars="184"/>
        <w:jc w:val="both"/>
        <w:rPr>
          <w:rFonts w:ascii="宋体" w:cs="宋体"/>
          <w:color w:val="auto"/>
          <w:szCs w:val="21"/>
          <w:highlight w:val="none"/>
          <w:u w:val="single"/>
        </w:rPr>
      </w:pPr>
      <w:r>
        <w:rPr>
          <w:rFonts w:hint="eastAsia" w:ascii="宋体" w:hAnsi="宋体" w:cs="宋体"/>
          <w:color w:val="auto"/>
          <w:szCs w:val="21"/>
          <w:highlight w:val="none"/>
        </w:rPr>
        <w:t>在</w:t>
      </w:r>
      <w:r>
        <w:rPr>
          <w:rFonts w:hint="eastAsia" w:ascii="宋体" w:hAnsi="宋体" w:cs="宋体"/>
          <w:color w:val="auto"/>
          <w:szCs w:val="21"/>
          <w:highlight w:val="none"/>
          <w:u w:val="single"/>
        </w:rPr>
        <w:t>（投标截止时间）</w:t>
      </w:r>
      <w:r>
        <w:rPr>
          <w:rFonts w:hint="eastAsia" w:ascii="宋体" w:hAnsi="宋体" w:cs="宋体"/>
          <w:color w:val="auto"/>
          <w:szCs w:val="21"/>
          <w:highlight w:val="none"/>
        </w:rPr>
        <w:t>前不得启封”的字样。”</w:t>
      </w:r>
    </w:p>
    <w:p>
      <w:pPr>
        <w:tabs>
          <w:tab w:val="left" w:pos="840"/>
        </w:tabs>
        <w:snapToGrid w:val="0"/>
        <w:spacing w:line="360" w:lineRule="auto"/>
        <w:jc w:val="both"/>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封套应写明投标人名称和地址，以便有必要时能原封退回。</w:t>
      </w:r>
    </w:p>
    <w:p>
      <w:pPr>
        <w:tabs>
          <w:tab w:val="left" w:pos="840"/>
        </w:tabs>
        <w:snapToGrid w:val="0"/>
        <w:spacing w:line="360" w:lineRule="auto"/>
        <w:ind w:left="620" w:hanging="620" w:hangingChars="294"/>
        <w:jc w:val="both"/>
        <w:rPr>
          <w:rFonts w:ascii="宋体" w:cs="宋体"/>
          <w:b/>
          <w:color w:val="auto"/>
          <w:szCs w:val="21"/>
          <w:highlight w:val="none"/>
          <w:u w:val="single"/>
        </w:rPr>
      </w:pPr>
      <w:r>
        <w:rPr>
          <w:rFonts w:ascii="宋体" w:hAnsi="宋体" w:cs="宋体"/>
          <w:b/>
          <w:color w:val="auto"/>
          <w:szCs w:val="21"/>
          <w:highlight w:val="none"/>
          <w:u w:val="single"/>
        </w:rPr>
        <w:t>1.4</w:t>
      </w:r>
      <w:r>
        <w:rPr>
          <w:rFonts w:hint="eastAsia" w:ascii="宋体" w:hAnsi="宋体" w:cs="宋体"/>
          <w:b/>
          <w:color w:val="auto"/>
          <w:szCs w:val="21"/>
          <w:highlight w:val="none"/>
          <w:u w:val="single"/>
        </w:rPr>
        <w:t>为方便开标唱标，投标人提交投标文件时还须单独提交按上述要求密封和标记的“唱标信封”一个，内含投标函、开标一览表、法定代表人证明书</w:t>
      </w:r>
      <w:r>
        <w:rPr>
          <w:rFonts w:ascii="宋体" w:hAnsi="宋体" w:cs="宋体"/>
          <w:b/>
          <w:color w:val="auto"/>
          <w:szCs w:val="21"/>
          <w:highlight w:val="none"/>
          <w:u w:val="single"/>
        </w:rPr>
        <w:t>/</w:t>
      </w:r>
      <w:r>
        <w:rPr>
          <w:rFonts w:hint="eastAsia" w:ascii="宋体" w:hAnsi="宋体" w:cs="宋体"/>
          <w:b/>
          <w:color w:val="auto"/>
          <w:szCs w:val="21"/>
          <w:highlight w:val="none"/>
          <w:u w:val="single"/>
        </w:rPr>
        <w:t>法定代表人授权书和投标保证金交纳凭证复印件，须加盖公章和法定代表人或授权委托人签名或盖章。</w:t>
      </w:r>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如果信封未按要求进行密封和标记的，采购人或政府采购代理机构有权拒绝其投标或对误投或提前启封概不负责。</w:t>
      </w:r>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投标文件未密封的或在递交截止时间后递交的或未送达指定地点的，采购人或政府采购代理机构将拒绝接收。</w:t>
      </w:r>
    </w:p>
    <w:p>
      <w:pPr>
        <w:widowControl w:val="0"/>
        <w:adjustRightInd w:val="0"/>
        <w:snapToGri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 xml:space="preserve">2. </w:t>
      </w:r>
      <w:r>
        <w:rPr>
          <w:rFonts w:hint="eastAsia" w:ascii="宋体" w:hAnsi="宋体" w:cs="宋体"/>
          <w:b/>
          <w:color w:val="auto"/>
          <w:kern w:val="2"/>
          <w:szCs w:val="21"/>
          <w:highlight w:val="none"/>
        </w:rPr>
        <w:t>投标文件的修改和撤回</w:t>
      </w:r>
    </w:p>
    <w:p>
      <w:pPr>
        <w:widowControl w:val="0"/>
        <w:adjustRightInd w:val="0"/>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kern w:val="2"/>
          <w:szCs w:val="21"/>
          <w:highlight w:val="none"/>
        </w:rPr>
        <w:t>投标人在投标截止时间前，可以对所递交的投标文件进行补充、修改或者撤回，并书面通知采购人。补充、修改的内容应当按招标文件要求签署、盖章，并作为投标文件的组成部分。</w:t>
      </w:r>
      <w:r>
        <w:rPr>
          <w:rFonts w:hint="eastAsia" w:ascii="宋体" w:hAnsi="宋体" w:cs="宋体"/>
          <w:color w:val="auto"/>
          <w:szCs w:val="21"/>
          <w:highlight w:val="none"/>
        </w:rPr>
        <w:t>在投标截止时点之后，投标人不得对其投标文件做任何修改和补充。</w:t>
      </w:r>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投标人在递交投标文件后，可以撤回其投标，但投标人必须在规定的投标截止时点前以书面形式告知采购人或政府采购代理机构。从投标截止期至投标人承诺的投标有效期内，投标人不得撤回其投标，否则其投标保证金将被没收。</w:t>
      </w:r>
    </w:p>
    <w:p>
      <w:pPr>
        <w:tabs>
          <w:tab w:val="left" w:pos="840"/>
        </w:tabs>
        <w:snapToGrid w:val="0"/>
        <w:spacing w:line="360" w:lineRule="auto"/>
        <w:jc w:val="both"/>
        <w:rPr>
          <w:rFonts w:ascii="宋体" w:cs="宋体"/>
          <w:color w:val="auto"/>
          <w:szCs w:val="21"/>
          <w:highlight w:val="none"/>
        </w:rPr>
      </w:pPr>
      <w:r>
        <w:rPr>
          <w:rFonts w:ascii="宋体" w:hAnsi="宋体" w:cs="宋体"/>
          <w:color w:val="auto"/>
          <w:szCs w:val="21"/>
          <w:highlight w:val="none"/>
        </w:rPr>
        <w:t xml:space="preserve">2.3 </w:t>
      </w:r>
      <w:r>
        <w:rPr>
          <w:rFonts w:hint="eastAsia" w:ascii="宋体" w:hAnsi="宋体" w:cs="宋体"/>
          <w:color w:val="auto"/>
          <w:szCs w:val="21"/>
          <w:highlight w:val="none"/>
        </w:rPr>
        <w:t>投标人所提交的投标文件在评标结束后，无论中标与否都不退还。</w:t>
      </w:r>
    </w:p>
    <w:p>
      <w:pPr>
        <w:tabs>
          <w:tab w:val="left" w:pos="840"/>
        </w:tabs>
        <w:snapToGrid w:val="0"/>
        <w:spacing w:line="360" w:lineRule="auto"/>
        <w:jc w:val="both"/>
        <w:rPr>
          <w:rFonts w:ascii="宋体" w:cs="宋体"/>
          <w:b/>
          <w:color w:val="auto"/>
          <w:szCs w:val="21"/>
          <w:highlight w:val="none"/>
        </w:rPr>
      </w:pPr>
      <w:r>
        <w:rPr>
          <w:rFonts w:hint="eastAsia" w:ascii="宋体" w:hAnsi="宋体" w:cs="宋体"/>
          <w:b/>
          <w:color w:val="auto"/>
          <w:szCs w:val="21"/>
          <w:highlight w:val="none"/>
        </w:rPr>
        <w:t>五、开标、评标和定标</w:t>
      </w:r>
    </w:p>
    <w:p>
      <w:pPr>
        <w:tabs>
          <w:tab w:val="left" w:pos="840"/>
        </w:tabs>
        <w:snapToGrid w:val="0"/>
        <w:spacing w:line="360" w:lineRule="auto"/>
        <w:ind w:firstLine="420" w:firstLineChars="200"/>
        <w:jc w:val="both"/>
        <w:rPr>
          <w:rFonts w:ascii="宋体" w:cs="宋体"/>
          <w:color w:val="auto"/>
          <w:szCs w:val="21"/>
          <w:highlight w:val="none"/>
        </w:rPr>
      </w:pPr>
      <w:r>
        <w:rPr>
          <w:rFonts w:hint="eastAsia" w:ascii="宋体" w:hAnsi="宋体" w:cs="宋体"/>
          <w:color w:val="auto"/>
          <w:szCs w:val="21"/>
          <w:highlight w:val="none"/>
        </w:rPr>
        <w:t>见招标文件第四部分。</w:t>
      </w:r>
    </w:p>
    <w:p>
      <w:pPr>
        <w:tabs>
          <w:tab w:val="left" w:pos="840"/>
        </w:tabs>
        <w:snapToGrid w:val="0"/>
        <w:spacing w:line="360" w:lineRule="auto"/>
        <w:jc w:val="both"/>
        <w:rPr>
          <w:rFonts w:ascii="宋体" w:cs="宋体"/>
          <w:b/>
          <w:color w:val="auto"/>
          <w:szCs w:val="21"/>
          <w:highlight w:val="none"/>
        </w:rPr>
      </w:pPr>
      <w:bookmarkStart w:id="33" w:name="_Toc451323774"/>
      <w:bookmarkStart w:id="34" w:name="_Toc451323811"/>
      <w:r>
        <w:rPr>
          <w:rFonts w:hint="eastAsia" w:ascii="宋体" w:hAnsi="宋体" w:cs="宋体"/>
          <w:b/>
          <w:color w:val="auto"/>
          <w:szCs w:val="21"/>
          <w:highlight w:val="none"/>
        </w:rPr>
        <w:t>六、询问、质疑和投诉</w:t>
      </w:r>
      <w:bookmarkEnd w:id="33"/>
      <w:bookmarkEnd w:id="34"/>
    </w:p>
    <w:p>
      <w:pPr>
        <w:tabs>
          <w:tab w:val="left" w:pos="840"/>
        </w:tabs>
        <w:snapToGrid w:val="0"/>
        <w:spacing w:line="360" w:lineRule="auto"/>
        <w:jc w:val="both"/>
        <w:rPr>
          <w:rFonts w:ascii="宋体" w:cs="宋体"/>
          <w:b/>
          <w:color w:val="auto"/>
          <w:szCs w:val="21"/>
          <w:highlight w:val="none"/>
        </w:rPr>
      </w:pPr>
      <w:bookmarkStart w:id="35" w:name="_Toc452712909"/>
      <w:bookmarkStart w:id="36" w:name="_Toc482004933"/>
      <w:r>
        <w:rPr>
          <w:rFonts w:ascii="宋体" w:hAnsi="宋体" w:cs="宋体"/>
          <w:b/>
          <w:color w:val="auto"/>
          <w:szCs w:val="21"/>
          <w:highlight w:val="none"/>
        </w:rPr>
        <w:t>1.</w:t>
      </w:r>
      <w:r>
        <w:rPr>
          <w:rFonts w:hint="eastAsia" w:ascii="宋体" w:hAnsi="宋体" w:cs="宋体"/>
          <w:b/>
          <w:color w:val="auto"/>
          <w:szCs w:val="21"/>
          <w:highlight w:val="none"/>
        </w:rPr>
        <w:t>询问</w:t>
      </w:r>
      <w:bookmarkEnd w:id="35"/>
      <w:bookmarkEnd w:id="36"/>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投标供应商对政府采购活动事项（招标文件、采购过程和中标结果）有疑问的，可以</w:t>
      </w:r>
      <w:r>
        <w:rPr>
          <w:rFonts w:hint="eastAsia" w:ascii="宋体" w:hAnsi="宋体" w:cs="黑体"/>
          <w:bCs/>
          <w:color w:val="auto"/>
          <w:szCs w:val="21"/>
          <w:highlight w:val="none"/>
        </w:rPr>
        <w:t>向</w:t>
      </w:r>
      <w:r>
        <w:rPr>
          <w:rFonts w:hint="eastAsia" w:ascii="宋体" w:hAnsi="宋体" w:cs="宋体"/>
          <w:color w:val="auto"/>
          <w:szCs w:val="21"/>
          <w:highlight w:val="none"/>
        </w:rPr>
        <w:t>采购人或政府采购代理机构提出询问，采购人或政府采购代理机构将及时作出答复，但答复的内容不涉及商业秘密。询问可以口头方式提出，也可以书面方式提出，书面方式包括但不限于传真、信函、电子邮件。联系方式见第一部分《投标邀请函》中“政府采购代理机构的名称、地址和联系方式”。</w:t>
      </w:r>
    </w:p>
    <w:p>
      <w:pPr>
        <w:tabs>
          <w:tab w:val="left" w:pos="840"/>
        </w:tabs>
        <w:snapToGrid w:val="0"/>
        <w:spacing w:line="360" w:lineRule="auto"/>
        <w:jc w:val="both"/>
        <w:rPr>
          <w:rFonts w:asci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质疑</w:t>
      </w:r>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投标人认为采购文件、采购过程和中标结果使自己的权益受到损害的，可以在知道或者应知其权益受到损害之日起七个工作日内，以书面形式向采购人或采购中心提出质疑，逾期质疑无效。</w:t>
      </w:r>
    </w:p>
    <w:p>
      <w:pPr>
        <w:tabs>
          <w:tab w:val="left" w:pos="840"/>
        </w:tabs>
        <w:snapToGrid w:val="0"/>
        <w:spacing w:line="360" w:lineRule="auto"/>
        <w:jc w:val="both"/>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投标人应知其权益受到损害之日是指：</w:t>
      </w:r>
    </w:p>
    <w:p>
      <w:pPr>
        <w:tabs>
          <w:tab w:val="left" w:pos="840"/>
        </w:tabs>
        <w:snapToGrid w:val="0"/>
        <w:spacing w:line="360" w:lineRule="auto"/>
        <w:ind w:left="420" w:leftChars="200"/>
        <w:jc w:val="both"/>
        <w:rPr>
          <w:rFonts w:ascii="宋体" w:cs="宋体"/>
          <w:color w:val="auto"/>
          <w:szCs w:val="21"/>
          <w:highlight w:val="none"/>
        </w:rPr>
      </w:pPr>
      <w:r>
        <w:rPr>
          <w:rFonts w:ascii="宋体" w:hAnsi="宋体" w:cs="宋体"/>
          <w:color w:val="auto"/>
          <w:szCs w:val="21"/>
          <w:highlight w:val="none"/>
        </w:rPr>
        <w:t>2.2.1</w:t>
      </w:r>
      <w:r>
        <w:rPr>
          <w:rFonts w:hint="eastAsia" w:ascii="宋体" w:hAnsi="宋体" w:cs="宋体"/>
          <w:color w:val="auto"/>
          <w:szCs w:val="21"/>
          <w:highlight w:val="none"/>
        </w:rPr>
        <w:t>对采购文件提出质疑的，为收到采购文件之日或者采购文件公告期限届满之日；</w:t>
      </w:r>
    </w:p>
    <w:p>
      <w:pPr>
        <w:tabs>
          <w:tab w:val="left" w:pos="840"/>
        </w:tabs>
        <w:snapToGrid w:val="0"/>
        <w:spacing w:line="360" w:lineRule="auto"/>
        <w:ind w:left="420" w:leftChars="200"/>
        <w:jc w:val="both"/>
        <w:rPr>
          <w:rFonts w:ascii="宋体" w:cs="宋体"/>
          <w:color w:val="auto"/>
          <w:szCs w:val="21"/>
          <w:highlight w:val="none"/>
        </w:rPr>
      </w:pPr>
      <w:r>
        <w:rPr>
          <w:rFonts w:ascii="宋体" w:hAnsi="宋体" w:cs="宋体"/>
          <w:color w:val="auto"/>
          <w:szCs w:val="21"/>
          <w:highlight w:val="none"/>
        </w:rPr>
        <w:t>2.2.2</w:t>
      </w:r>
      <w:r>
        <w:rPr>
          <w:rFonts w:hint="eastAsia" w:ascii="宋体" w:hAnsi="宋体" w:cs="宋体"/>
          <w:color w:val="auto"/>
          <w:szCs w:val="21"/>
          <w:highlight w:val="none"/>
        </w:rPr>
        <w:t>对采购过程提出质疑的，为各采购程序环节结束之日；</w:t>
      </w:r>
    </w:p>
    <w:p>
      <w:pPr>
        <w:tabs>
          <w:tab w:val="left" w:pos="840"/>
        </w:tabs>
        <w:snapToGrid w:val="0"/>
        <w:spacing w:line="360" w:lineRule="auto"/>
        <w:ind w:left="420" w:leftChars="200"/>
        <w:jc w:val="both"/>
        <w:rPr>
          <w:rFonts w:ascii="宋体" w:cs="宋体"/>
          <w:color w:val="auto"/>
          <w:szCs w:val="21"/>
          <w:highlight w:val="none"/>
        </w:rPr>
      </w:pPr>
      <w:r>
        <w:rPr>
          <w:rFonts w:ascii="宋体" w:hAnsi="宋体" w:cs="宋体"/>
          <w:color w:val="auto"/>
          <w:szCs w:val="21"/>
          <w:highlight w:val="none"/>
        </w:rPr>
        <w:t>2.2.3</w:t>
      </w:r>
      <w:r>
        <w:rPr>
          <w:rFonts w:hint="eastAsia" w:ascii="宋体" w:hAnsi="宋体" w:cs="宋体"/>
          <w:color w:val="auto"/>
          <w:szCs w:val="21"/>
          <w:highlight w:val="none"/>
        </w:rPr>
        <w:t>对中标结果提出质疑的，为中标结果公告期限届满之日。</w:t>
      </w:r>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《质疑书》应当包括下列主要内容：</w:t>
      </w:r>
    </w:p>
    <w:p>
      <w:pPr>
        <w:spacing w:line="360" w:lineRule="auto"/>
        <w:ind w:firstLine="315" w:firstLineChars="150"/>
        <w:jc w:val="both"/>
        <w:rPr>
          <w:rFonts w:ascii="宋体" w:cs="宋体"/>
          <w:color w:val="auto"/>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1</w:t>
      </w:r>
      <w:r>
        <w:rPr>
          <w:rFonts w:hint="eastAsia" w:ascii="宋体" w:hAnsi="宋体" w:cs="宋体"/>
          <w:color w:val="auto"/>
          <w:kern w:val="2"/>
          <w:szCs w:val="21"/>
          <w:highlight w:val="none"/>
        </w:rPr>
        <w:t>）</w:t>
      </w:r>
      <w:r>
        <w:rPr>
          <w:rFonts w:hint="eastAsia" w:ascii="宋体" w:hAnsi="宋体" w:cs="宋体"/>
          <w:color w:val="auto"/>
          <w:szCs w:val="21"/>
          <w:highlight w:val="none"/>
        </w:rPr>
        <w:t>质疑人的名称、地址、电话等；</w:t>
      </w:r>
    </w:p>
    <w:p>
      <w:pPr>
        <w:spacing w:line="360" w:lineRule="auto"/>
        <w:ind w:firstLine="315" w:firstLineChars="150"/>
        <w:jc w:val="both"/>
        <w:rPr>
          <w:rFonts w:ascii="宋体" w:cs="宋体"/>
          <w:color w:val="auto"/>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2</w:t>
      </w:r>
      <w:r>
        <w:rPr>
          <w:rFonts w:hint="eastAsia" w:ascii="宋体" w:hAnsi="宋体" w:cs="宋体"/>
          <w:color w:val="auto"/>
          <w:kern w:val="2"/>
          <w:szCs w:val="21"/>
          <w:highlight w:val="none"/>
        </w:rPr>
        <w:t>）</w:t>
      </w:r>
      <w:r>
        <w:rPr>
          <w:rFonts w:hint="eastAsia" w:ascii="宋体" w:hAnsi="宋体" w:cs="宋体"/>
          <w:color w:val="auto"/>
          <w:szCs w:val="21"/>
          <w:highlight w:val="none"/>
        </w:rPr>
        <w:t>所质疑的政府采购项目，具体的质疑事项及事实依据（包括证据资料）；</w:t>
      </w:r>
    </w:p>
    <w:p>
      <w:pPr>
        <w:spacing w:line="360" w:lineRule="auto"/>
        <w:ind w:firstLine="315" w:firstLineChars="150"/>
        <w:jc w:val="both"/>
        <w:rPr>
          <w:rFonts w:ascii="宋体" w:cs="宋体"/>
          <w:color w:val="auto"/>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3</w:t>
      </w:r>
      <w:r>
        <w:rPr>
          <w:rFonts w:hint="eastAsia" w:ascii="宋体" w:hAnsi="宋体" w:cs="宋体"/>
          <w:color w:val="auto"/>
          <w:kern w:val="2"/>
          <w:szCs w:val="21"/>
          <w:highlight w:val="none"/>
        </w:rPr>
        <w:t>）</w:t>
      </w:r>
      <w:r>
        <w:rPr>
          <w:rFonts w:hint="eastAsia" w:ascii="宋体" w:hAnsi="宋体" w:cs="宋体"/>
          <w:color w:val="auto"/>
          <w:szCs w:val="21"/>
          <w:highlight w:val="none"/>
        </w:rPr>
        <w:t>提起质疑的日期。</w:t>
      </w:r>
    </w:p>
    <w:p>
      <w:pPr>
        <w:tabs>
          <w:tab w:val="left" w:pos="851"/>
        </w:tabs>
        <w:snapToGrid w:val="0"/>
        <w:spacing w:line="360" w:lineRule="auto"/>
        <w:jc w:val="both"/>
        <w:rPr>
          <w:rFonts w:ascii="宋体" w:cs="宋体"/>
          <w:color w:val="auto"/>
          <w:szCs w:val="21"/>
          <w:highlight w:val="none"/>
        </w:rPr>
      </w:pPr>
      <w:r>
        <w:rPr>
          <w:rFonts w:ascii="宋体" w:hAnsi="宋体" w:cs="宋体"/>
          <w:color w:val="auto"/>
          <w:szCs w:val="21"/>
          <w:highlight w:val="none"/>
        </w:rPr>
        <w:t>2.4</w:t>
      </w:r>
      <w:r>
        <w:rPr>
          <w:rFonts w:hint="eastAsia" w:ascii="宋体" w:hAnsi="宋体" w:cs="宋体"/>
          <w:color w:val="auto"/>
          <w:szCs w:val="21"/>
          <w:highlight w:val="none"/>
        </w:rPr>
        <w:t>质疑人进行质疑应当符合下列条件：</w:t>
      </w:r>
    </w:p>
    <w:p>
      <w:pPr>
        <w:spacing w:line="360" w:lineRule="auto"/>
        <w:ind w:firstLine="315" w:firstLineChars="150"/>
        <w:jc w:val="both"/>
        <w:rPr>
          <w:rFonts w:ascii="宋体" w:cs="宋体"/>
          <w:color w:val="auto"/>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1</w:t>
      </w:r>
      <w:r>
        <w:rPr>
          <w:rFonts w:hint="eastAsia" w:ascii="宋体" w:hAnsi="宋体" w:cs="宋体"/>
          <w:color w:val="auto"/>
          <w:kern w:val="2"/>
          <w:szCs w:val="21"/>
          <w:highlight w:val="none"/>
        </w:rPr>
        <w:t>）</w:t>
      </w:r>
      <w:r>
        <w:rPr>
          <w:rFonts w:hint="eastAsia" w:ascii="宋体" w:hAnsi="宋体" w:cs="宋体"/>
          <w:color w:val="auto"/>
          <w:szCs w:val="21"/>
          <w:highlight w:val="none"/>
        </w:rPr>
        <w:t>质疑人是参与所质疑政府采购项目的供应商；</w:t>
      </w:r>
    </w:p>
    <w:p>
      <w:pPr>
        <w:spacing w:line="360" w:lineRule="auto"/>
        <w:ind w:firstLine="315" w:firstLineChars="150"/>
        <w:jc w:val="both"/>
        <w:rPr>
          <w:rFonts w:ascii="宋体" w:cs="宋体"/>
          <w:color w:val="auto"/>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2</w:t>
      </w:r>
      <w:r>
        <w:rPr>
          <w:rFonts w:hint="eastAsia" w:ascii="宋体" w:hAnsi="宋体" w:cs="宋体"/>
          <w:color w:val="auto"/>
          <w:kern w:val="2"/>
          <w:szCs w:val="21"/>
          <w:highlight w:val="none"/>
        </w:rPr>
        <w:t>）</w:t>
      </w:r>
      <w:r>
        <w:rPr>
          <w:rFonts w:hint="eastAsia" w:ascii="宋体" w:hAnsi="宋体" w:cs="宋体"/>
          <w:color w:val="auto"/>
          <w:szCs w:val="21"/>
          <w:highlight w:val="none"/>
        </w:rPr>
        <w:t>在质疑有效期内提起质疑；</w:t>
      </w:r>
    </w:p>
    <w:p>
      <w:pPr>
        <w:spacing w:line="360" w:lineRule="auto"/>
        <w:ind w:firstLine="315" w:firstLineChars="150"/>
        <w:jc w:val="both"/>
        <w:rPr>
          <w:rFonts w:ascii="宋体" w:cs="宋体"/>
          <w:color w:val="auto"/>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2</w:t>
      </w:r>
      <w:r>
        <w:rPr>
          <w:rFonts w:hint="eastAsia" w:ascii="宋体" w:hAnsi="宋体" w:cs="宋体"/>
          <w:color w:val="auto"/>
          <w:kern w:val="2"/>
          <w:szCs w:val="21"/>
          <w:highlight w:val="none"/>
        </w:rPr>
        <w:t>）</w:t>
      </w:r>
      <w:r>
        <w:rPr>
          <w:rFonts w:hint="eastAsia" w:ascii="宋体" w:hAnsi="宋体" w:cs="宋体"/>
          <w:color w:val="auto"/>
          <w:szCs w:val="21"/>
          <w:highlight w:val="none"/>
        </w:rPr>
        <w:t>法律法规规定的其他条件。</w:t>
      </w:r>
    </w:p>
    <w:p>
      <w:pPr>
        <w:tabs>
          <w:tab w:val="left" w:pos="1272"/>
        </w:tabs>
        <w:spacing w:line="360" w:lineRule="auto"/>
        <w:jc w:val="both"/>
        <w:rPr>
          <w:rFonts w:ascii="宋体" w:cs="宋体"/>
          <w:color w:val="auto"/>
          <w:szCs w:val="21"/>
          <w:highlight w:val="none"/>
        </w:rPr>
      </w:pPr>
      <w:r>
        <w:rPr>
          <w:rFonts w:ascii="宋体" w:hAnsi="宋体" w:cs="宋体"/>
          <w:color w:val="auto"/>
          <w:szCs w:val="21"/>
          <w:highlight w:val="none"/>
        </w:rPr>
        <w:t xml:space="preserve">2.5 </w:t>
      </w:r>
      <w:r>
        <w:rPr>
          <w:rFonts w:hint="eastAsia" w:ascii="宋体" w:hAnsi="宋体" w:cs="宋体"/>
          <w:color w:val="auto"/>
          <w:szCs w:val="21"/>
          <w:highlight w:val="none"/>
        </w:rPr>
        <w:t>质疑联系人：</w:t>
      </w:r>
      <w:r>
        <w:rPr>
          <w:rFonts w:hint="eastAsia" w:ascii="宋体" w:hAnsi="宋体" w:cs="宋体"/>
          <w:color w:val="auto"/>
          <w:szCs w:val="21"/>
          <w:highlight w:val="none"/>
          <w:lang w:eastAsia="zh-CN"/>
        </w:rPr>
        <w:t>中山市建业建筑工程监理有限公司</w:t>
      </w:r>
    </w:p>
    <w:p>
      <w:pPr>
        <w:tabs>
          <w:tab w:val="left" w:pos="1272"/>
        </w:tabs>
        <w:spacing w:line="360" w:lineRule="auto"/>
        <w:ind w:firstLine="525" w:firstLineChars="250"/>
        <w:jc w:val="both"/>
        <w:rPr>
          <w:rFonts w:hint="eastAsia" w:ascii="宋体" w:eastAsia="宋体" w:cs="宋体"/>
          <w:color w:val="auto"/>
          <w:szCs w:val="21"/>
          <w:highlight w:val="none"/>
          <w:lang w:eastAsia="zh-CN"/>
        </w:rPr>
      </w:pPr>
      <w:r>
        <w:rPr>
          <w:rFonts w:hint="eastAsia" w:ascii="宋体" w:hAnsi="宋体" w:cs="宋体"/>
          <w:color w:val="auto"/>
          <w:szCs w:val="21"/>
          <w:highlight w:val="none"/>
        </w:rPr>
        <w:t>地址</w:t>
      </w:r>
      <w:r>
        <w:rPr>
          <w:rFonts w:ascii="宋体" w:hAnsi="宋体" w:cs="宋体"/>
          <w:color w:val="auto"/>
          <w:szCs w:val="21"/>
          <w:highlight w:val="none"/>
        </w:rPr>
        <w:t xml:space="preserve">: </w:t>
      </w:r>
      <w:r>
        <w:rPr>
          <w:rFonts w:hint="eastAsia" w:ascii="宋体" w:hAnsi="宋体" w:cs="宋体"/>
          <w:color w:val="auto"/>
          <w:szCs w:val="21"/>
          <w:highlight w:val="none"/>
          <w:lang w:eastAsia="zh-CN"/>
        </w:rPr>
        <w:t>中山市东区中山四路53号工业楼4楼（即能龙大厦4楼）</w:t>
      </w:r>
    </w:p>
    <w:p>
      <w:pPr>
        <w:tabs>
          <w:tab w:val="left" w:pos="1272"/>
        </w:tabs>
        <w:spacing w:line="360" w:lineRule="auto"/>
        <w:ind w:firstLine="525" w:firstLineChars="250"/>
        <w:jc w:val="both"/>
        <w:rPr>
          <w:rFonts w:ascii="宋体" w:cs="宋体"/>
          <w:color w:val="auto"/>
          <w:szCs w:val="21"/>
          <w:highlight w:val="none"/>
        </w:rPr>
      </w:pPr>
      <w:r>
        <w:rPr>
          <w:rFonts w:hint="eastAsia" w:ascii="宋体" w:hAnsi="宋体" w:cs="宋体"/>
          <w:color w:val="auto"/>
          <w:szCs w:val="21"/>
          <w:highlight w:val="none"/>
        </w:rPr>
        <w:t>邮编：</w:t>
      </w:r>
      <w:r>
        <w:rPr>
          <w:rFonts w:ascii="宋体" w:hAnsi="宋体" w:cs="宋体"/>
          <w:color w:val="auto"/>
          <w:szCs w:val="21"/>
          <w:highlight w:val="none"/>
        </w:rPr>
        <w:t>528400</w:t>
      </w:r>
    </w:p>
    <w:p>
      <w:pPr>
        <w:tabs>
          <w:tab w:val="left" w:pos="1272"/>
        </w:tabs>
        <w:spacing w:line="360" w:lineRule="auto"/>
        <w:ind w:firstLine="525" w:firstLineChars="250"/>
        <w:jc w:val="both"/>
        <w:rPr>
          <w:rFonts w:hint="default" w:ascii="宋体" w:eastAsia="宋体" w:cs="宋体"/>
          <w:color w:val="auto"/>
          <w:szCs w:val="21"/>
          <w:highlight w:val="none"/>
          <w:lang w:val="en-US" w:eastAsia="zh-CN"/>
        </w:rPr>
      </w:pPr>
      <w:r>
        <w:rPr>
          <w:rFonts w:hint="eastAsia" w:ascii="宋体" w:hAnsi="宋体" w:cs="宋体"/>
          <w:color w:val="auto"/>
          <w:szCs w:val="21"/>
          <w:highlight w:val="none"/>
        </w:rPr>
        <w:t>电话：</w:t>
      </w:r>
      <w:r>
        <w:rPr>
          <w:rFonts w:ascii="宋体" w:hAnsi="宋体" w:cs="宋体"/>
          <w:color w:val="auto"/>
          <w:szCs w:val="21"/>
          <w:highlight w:val="none"/>
        </w:rPr>
        <w:t>0760-883</w:t>
      </w:r>
      <w:r>
        <w:rPr>
          <w:rFonts w:hint="eastAsia" w:ascii="宋体" w:hAnsi="宋体" w:cs="宋体"/>
          <w:color w:val="auto"/>
          <w:szCs w:val="21"/>
          <w:highlight w:val="none"/>
          <w:lang w:val="en-US" w:eastAsia="zh-CN"/>
        </w:rPr>
        <w:t>32302</w:t>
      </w:r>
      <w:r>
        <w:rPr>
          <w:rFonts w:ascii="宋体" w:hAnsi="宋体" w:cs="宋体"/>
          <w:color w:val="auto"/>
          <w:szCs w:val="21"/>
          <w:highlight w:val="none"/>
        </w:rPr>
        <w:t xml:space="preserve">               </w:t>
      </w:r>
      <w:r>
        <w:rPr>
          <w:rFonts w:hint="eastAsia" w:ascii="宋体" w:hAnsi="宋体" w:cs="宋体"/>
          <w:color w:val="auto"/>
          <w:szCs w:val="21"/>
          <w:highlight w:val="none"/>
        </w:rPr>
        <w:t>传真：</w:t>
      </w:r>
      <w:r>
        <w:rPr>
          <w:rFonts w:ascii="宋体" w:hAnsi="宋体" w:cs="宋体"/>
          <w:color w:val="auto"/>
          <w:szCs w:val="21"/>
          <w:highlight w:val="none"/>
        </w:rPr>
        <w:t>0760-883</w:t>
      </w:r>
      <w:r>
        <w:rPr>
          <w:rFonts w:hint="eastAsia" w:ascii="宋体" w:hAnsi="宋体" w:cs="宋体"/>
          <w:color w:val="auto"/>
          <w:szCs w:val="21"/>
          <w:highlight w:val="none"/>
          <w:lang w:val="en-US" w:eastAsia="zh-CN"/>
        </w:rPr>
        <w:t>32309</w:t>
      </w:r>
    </w:p>
    <w:p>
      <w:pPr>
        <w:tabs>
          <w:tab w:val="left" w:pos="1272"/>
        </w:tabs>
        <w:spacing w:line="360" w:lineRule="auto"/>
        <w:ind w:firstLine="525" w:firstLineChars="250"/>
        <w:jc w:val="both"/>
        <w:rPr>
          <w:rFonts w:hint="eastAsia" w:asci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胡先生</w:t>
      </w:r>
    </w:p>
    <w:p>
      <w:pPr>
        <w:tabs>
          <w:tab w:val="left" w:pos="1272"/>
        </w:tabs>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质疑内容不得含有虚假、恶意成份。依照谁主张谁举证的原则，提出质疑者必须同时提交相关确凿的证据材料和注明证据的确切来源，证据来源必须合法，政府采购代理机构有权将质疑函转发质疑事项各关联方，请其作出解释说明。对捏造事实、滥用维权扰乱采购秩序的恶意质疑者，将上报政府采购监督部门依法处理。</w:t>
      </w:r>
    </w:p>
    <w:p>
      <w:pPr>
        <w:tabs>
          <w:tab w:val="left" w:pos="1272"/>
        </w:tabs>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被质疑投标人须配合政府采购代理机构进行调查，被质疑投标人不提交相关证据、依据和其它有关材料的，视同放弃说明权利，认可质疑事项。</w:t>
      </w:r>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kern w:val="2"/>
          <w:szCs w:val="21"/>
          <w:highlight w:val="none"/>
        </w:rPr>
        <w:t>2.8</w:t>
      </w:r>
      <w:r>
        <w:rPr>
          <w:rFonts w:hint="eastAsia" w:ascii="宋体" w:hAnsi="宋体" w:cs="宋体"/>
          <w:color w:val="auto"/>
          <w:szCs w:val="21"/>
          <w:highlight w:val="none"/>
        </w:rPr>
        <w:t>采购人或政府采购代理机构在收到投标人的书面质疑后</w:t>
      </w:r>
      <w:r>
        <w:rPr>
          <w:rFonts w:ascii="宋体" w:hAnsi="宋体" w:cs="宋体"/>
          <w:color w:val="auto"/>
          <w:szCs w:val="21"/>
          <w:highlight w:val="none"/>
        </w:rPr>
        <w:t>7</w:t>
      </w:r>
      <w:r>
        <w:rPr>
          <w:rFonts w:hint="eastAsia" w:ascii="宋体" w:hAnsi="宋体" w:cs="宋体"/>
          <w:color w:val="auto"/>
          <w:szCs w:val="21"/>
          <w:highlight w:val="none"/>
        </w:rPr>
        <w:t>个工作日内作出答复，并以书面形式通知质疑人和其他有关投标人，但答复内容不涉及商业秘密。质疑人须提供相关证明材料，包括但不限于权益受损害的情况说明及受损害的原因、合法的证据内容等，并对质疑内容的真实性承担责任。</w:t>
      </w:r>
    </w:p>
    <w:p>
      <w:pPr>
        <w:tabs>
          <w:tab w:val="left" w:pos="1272"/>
        </w:tabs>
        <w:spacing w:line="360" w:lineRule="auto"/>
        <w:jc w:val="both"/>
        <w:rPr>
          <w:rFonts w:asci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投诉</w:t>
      </w:r>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投标人对采购人或政府采购代理机构的质疑答复不满意或</w:t>
      </w:r>
      <w:r>
        <w:rPr>
          <w:rFonts w:hint="eastAsia" w:ascii="宋体" w:hAnsi="宋体"/>
          <w:color w:val="auto"/>
          <w:szCs w:val="21"/>
          <w:highlight w:val="none"/>
        </w:rPr>
        <w:t>采购人、政府采购代理机构</w:t>
      </w:r>
      <w:r>
        <w:rPr>
          <w:rFonts w:hint="eastAsia" w:ascii="宋体" w:hAnsi="宋体" w:cs="宋体"/>
          <w:color w:val="auto"/>
          <w:szCs w:val="21"/>
          <w:highlight w:val="none"/>
        </w:rPr>
        <w:t>未在规定</w:t>
      </w:r>
      <w:r>
        <w:rPr>
          <w:rFonts w:hint="eastAsia" w:ascii="宋体" w:hAnsi="宋体"/>
          <w:color w:val="auto"/>
          <w:szCs w:val="21"/>
          <w:highlight w:val="none"/>
        </w:rPr>
        <w:t>期限</w:t>
      </w:r>
      <w:r>
        <w:rPr>
          <w:rFonts w:hint="eastAsia" w:ascii="宋体" w:hAnsi="宋体" w:cs="宋体"/>
          <w:color w:val="auto"/>
          <w:szCs w:val="21"/>
          <w:highlight w:val="none"/>
        </w:rPr>
        <w:t>内作出答复的，提出质疑的投标人可以在答复期满后</w:t>
      </w:r>
      <w:r>
        <w:rPr>
          <w:rFonts w:ascii="宋体" w:hAnsi="宋体" w:cs="宋体"/>
          <w:color w:val="auto"/>
          <w:szCs w:val="21"/>
          <w:highlight w:val="none"/>
        </w:rPr>
        <w:t>15</w:t>
      </w:r>
      <w:r>
        <w:rPr>
          <w:rFonts w:hint="eastAsia" w:ascii="宋体" w:hAnsi="宋体" w:cs="宋体"/>
          <w:color w:val="auto"/>
          <w:szCs w:val="21"/>
          <w:highlight w:val="none"/>
        </w:rPr>
        <w:t>个工作日内向政府采购监督管理机构投诉。</w:t>
      </w:r>
    </w:p>
    <w:p>
      <w:pPr>
        <w:tabs>
          <w:tab w:val="left" w:pos="840"/>
        </w:tabs>
        <w:snapToGrid w:val="0"/>
        <w:spacing w:line="360" w:lineRule="auto"/>
        <w:jc w:val="both"/>
        <w:rPr>
          <w:rFonts w:ascii="宋体" w:cs="宋体"/>
          <w:b/>
          <w:color w:val="auto"/>
          <w:szCs w:val="21"/>
          <w:highlight w:val="none"/>
        </w:rPr>
      </w:pPr>
      <w:r>
        <w:rPr>
          <w:rFonts w:hint="eastAsia" w:ascii="宋体" w:hAnsi="宋体" w:cs="宋体"/>
          <w:b/>
          <w:color w:val="auto"/>
          <w:szCs w:val="21"/>
          <w:highlight w:val="none"/>
        </w:rPr>
        <w:t>附注：质疑或投诉必须是书面的原件，并加盖投标人公章及由法定代表人或其授权代表签署或盖章，匿名信不予受理。质疑、投诉应当有明确的请求和必要的证明材料。</w:t>
      </w:r>
    </w:p>
    <w:p>
      <w:pPr>
        <w:widowControl w:val="0"/>
        <w:adjustRightInd w:val="0"/>
        <w:snapToGrid w:val="0"/>
        <w:spacing w:line="360" w:lineRule="auto"/>
        <w:jc w:val="both"/>
        <w:rPr>
          <w:rFonts w:ascii="宋体" w:cs="宋体"/>
          <w:b/>
          <w:color w:val="auto"/>
          <w:kern w:val="2"/>
          <w:szCs w:val="21"/>
          <w:highlight w:val="none"/>
        </w:rPr>
      </w:pPr>
      <w:r>
        <w:rPr>
          <w:rFonts w:hint="eastAsia" w:ascii="宋体" w:hAnsi="宋体" w:cs="宋体"/>
          <w:b/>
          <w:color w:val="auto"/>
          <w:kern w:val="2"/>
          <w:szCs w:val="21"/>
          <w:highlight w:val="none"/>
        </w:rPr>
        <w:t>七、合同的订立和履行</w:t>
      </w:r>
    </w:p>
    <w:p>
      <w:pPr>
        <w:widowControl w:val="0"/>
        <w:adjustRightInd w:val="0"/>
        <w:spacing w:line="360" w:lineRule="auto"/>
        <w:jc w:val="both"/>
        <w:rPr>
          <w:rFonts w:ascii="宋体" w:cs="宋体"/>
          <w:b/>
          <w:color w:val="auto"/>
          <w:kern w:val="2"/>
          <w:szCs w:val="21"/>
          <w:highlight w:val="none"/>
        </w:rPr>
      </w:pPr>
      <w:r>
        <w:rPr>
          <w:rFonts w:ascii="宋体" w:hAnsi="宋体" w:cs="宋体"/>
          <w:b/>
          <w:color w:val="auto"/>
          <w:kern w:val="2"/>
          <w:szCs w:val="21"/>
          <w:highlight w:val="none"/>
        </w:rPr>
        <w:t>1.</w:t>
      </w:r>
      <w:r>
        <w:rPr>
          <w:rFonts w:hint="eastAsia" w:ascii="宋体" w:hAnsi="宋体" w:cs="宋体"/>
          <w:b/>
          <w:color w:val="auto"/>
          <w:kern w:val="2"/>
          <w:szCs w:val="21"/>
          <w:highlight w:val="none"/>
        </w:rPr>
        <w:t>中标通知书</w:t>
      </w:r>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lang w:eastAsia="zh-TW"/>
        </w:rPr>
        <w:t>政府采购代理机构</w:t>
      </w:r>
      <w:r>
        <w:rPr>
          <w:rFonts w:hint="eastAsia" w:ascii="宋体" w:hAnsi="宋体" w:cs="宋体"/>
          <w:color w:val="auto"/>
          <w:szCs w:val="21"/>
          <w:highlight w:val="none"/>
        </w:rPr>
        <w:t>自中标人确定之日起</w:t>
      </w:r>
      <w:r>
        <w:rPr>
          <w:rFonts w:ascii="宋体" w:hAnsi="宋体" w:cs="宋体"/>
          <w:color w:val="auto"/>
          <w:szCs w:val="21"/>
          <w:highlight w:val="none"/>
        </w:rPr>
        <w:t>2</w:t>
      </w:r>
      <w:r>
        <w:rPr>
          <w:rFonts w:hint="eastAsia" w:ascii="宋体" w:hAnsi="宋体" w:cs="宋体"/>
          <w:color w:val="auto"/>
          <w:szCs w:val="21"/>
          <w:highlight w:val="none"/>
        </w:rPr>
        <w:t>个工作日内，在发布采购信息公告的媒体上发布中标结果公告。并向中标人发出《中标通知书》。</w:t>
      </w:r>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 xml:space="preserve">1.2 </w:t>
      </w:r>
      <w:r>
        <w:rPr>
          <w:rFonts w:hint="eastAsia" w:ascii="宋体" w:hAnsi="宋体" w:cs="宋体"/>
          <w:color w:val="auto"/>
          <w:szCs w:val="21"/>
          <w:highlight w:val="none"/>
        </w:rPr>
        <w:t>《中标通知书》将是合同的一个组成部分，对采购人和中标人均具有同等法律效力。除不可抗力等因素外，《中标通知书》发出后，采购人改变中标结果，或者中标人无</w:t>
      </w:r>
      <w:r>
        <w:rPr>
          <w:rFonts w:hint="eastAsia" w:ascii="宋体" w:hAnsi="宋体"/>
          <w:color w:val="auto"/>
          <w:szCs w:val="21"/>
          <w:highlight w:val="none"/>
        </w:rPr>
        <w:t>正当理由</w:t>
      </w:r>
      <w:r>
        <w:rPr>
          <w:rFonts w:hint="eastAsia" w:ascii="宋体" w:hAnsi="宋体" w:cs="宋体"/>
          <w:color w:val="auto"/>
          <w:szCs w:val="21"/>
          <w:highlight w:val="none"/>
        </w:rPr>
        <w:t>放弃中标的，均应承担相应的法律责任。</w:t>
      </w:r>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政府采购代理机构在向中标人发出《中标通知书》的同时，将向所有未中标人发出《招标结果通知书》。</w:t>
      </w:r>
    </w:p>
    <w:p>
      <w:pPr>
        <w:autoSpaceDE w:val="0"/>
        <w:autoSpaceDN w:val="0"/>
        <w:adjustRightInd w:val="0"/>
        <w:snapToGrid w:val="0"/>
        <w:spacing w:line="360" w:lineRule="auto"/>
        <w:ind w:right="32"/>
        <w:contextualSpacing/>
        <w:rPr>
          <w:rFonts w:ascii="宋体" w:cs="宋体"/>
          <w:b/>
          <w:color w:val="auto"/>
          <w:szCs w:val="21"/>
          <w:highlight w:val="none"/>
        </w:rPr>
      </w:pPr>
      <w:r>
        <w:rPr>
          <w:rFonts w:ascii="宋体" w:hAnsi="宋体" w:cs="宋体"/>
          <w:b/>
          <w:color w:val="auto"/>
          <w:szCs w:val="21"/>
          <w:highlight w:val="none"/>
        </w:rPr>
        <w:t xml:space="preserve">2. </w:t>
      </w:r>
      <w:r>
        <w:rPr>
          <w:rFonts w:hint="eastAsia" w:ascii="宋体" w:hAnsi="宋体" w:cs="宋体"/>
          <w:b/>
          <w:color w:val="auto"/>
          <w:szCs w:val="21"/>
          <w:highlight w:val="none"/>
        </w:rPr>
        <w:t>合同的订立</w:t>
      </w:r>
    </w:p>
    <w:p>
      <w:pPr>
        <w:tabs>
          <w:tab w:val="left" w:pos="425"/>
          <w:tab w:val="left" w:pos="567"/>
        </w:tabs>
        <w:autoSpaceDE w:val="0"/>
        <w:autoSpaceDN w:val="0"/>
        <w:adjustRightInd w:val="0"/>
        <w:snapToGrid w:val="0"/>
        <w:spacing w:line="360" w:lineRule="auto"/>
        <w:ind w:left="420" w:hanging="420" w:hangingChars="200"/>
        <w:rPr>
          <w:rFonts w:ascii="宋体" w:cs="黑体"/>
          <w:b/>
          <w:bCs/>
          <w:color w:val="auto"/>
          <w:szCs w:val="21"/>
          <w:highlight w:val="none"/>
        </w:rPr>
      </w:pPr>
      <w:r>
        <w:rPr>
          <w:rFonts w:ascii="宋体" w:hAnsi="宋体" w:cs="宋体"/>
          <w:color w:val="auto"/>
          <w:szCs w:val="21"/>
          <w:highlight w:val="none"/>
        </w:rPr>
        <w:t xml:space="preserve">2.1 </w:t>
      </w:r>
      <w:r>
        <w:rPr>
          <w:rFonts w:hint="eastAsia" w:ascii="宋体" w:hAnsi="宋体" w:cs="宋体"/>
          <w:color w:val="auto"/>
          <w:szCs w:val="21"/>
          <w:highlight w:val="none"/>
          <w:lang w:eastAsia="zh-TW"/>
        </w:rPr>
        <w:t>采购人应当自中标通知书发出之日起</w:t>
      </w:r>
      <w:r>
        <w:rPr>
          <w:rFonts w:ascii="宋体" w:hAnsi="宋体" w:cs="宋体"/>
          <w:color w:val="auto"/>
          <w:szCs w:val="21"/>
          <w:highlight w:val="none"/>
        </w:rPr>
        <w:t>30</w:t>
      </w:r>
      <w:r>
        <w:rPr>
          <w:rFonts w:hint="eastAsia" w:ascii="宋体" w:hAnsi="宋体" w:cs="宋体"/>
          <w:color w:val="auto"/>
          <w:szCs w:val="21"/>
          <w:highlight w:val="none"/>
          <w:lang w:eastAsia="zh-TW"/>
        </w:rPr>
        <w:t>日内，按照招标文件和</w:t>
      </w:r>
      <w:r>
        <w:rPr>
          <w:rFonts w:hint="eastAsia" w:ascii="宋体" w:hAnsi="宋体" w:cs="宋体"/>
          <w:color w:val="auto"/>
          <w:szCs w:val="21"/>
          <w:highlight w:val="none"/>
        </w:rPr>
        <w:t>中标人</w:t>
      </w:r>
      <w:r>
        <w:rPr>
          <w:rFonts w:hint="eastAsia" w:ascii="宋体" w:hAnsi="宋体" w:cs="宋体"/>
          <w:color w:val="auto"/>
          <w:szCs w:val="21"/>
          <w:highlight w:val="none"/>
          <w:lang w:eastAsia="zh-TW"/>
        </w:rPr>
        <w:t>投标文件的约定，与</w:t>
      </w:r>
      <w:r>
        <w:rPr>
          <w:rFonts w:hint="eastAsia" w:ascii="宋体" w:hAnsi="宋体" w:cs="宋体"/>
          <w:color w:val="auto"/>
          <w:szCs w:val="21"/>
          <w:highlight w:val="none"/>
        </w:rPr>
        <w:t>中标人</w:t>
      </w:r>
      <w:r>
        <w:rPr>
          <w:rFonts w:hint="eastAsia" w:ascii="宋体" w:hAnsi="宋体" w:cs="宋体"/>
          <w:color w:val="auto"/>
          <w:szCs w:val="21"/>
          <w:highlight w:val="none"/>
          <w:lang w:eastAsia="zh-TW"/>
        </w:rPr>
        <w:t>签订书面合同。所签订的合同不得对招标文件和</w:t>
      </w:r>
      <w:r>
        <w:rPr>
          <w:rFonts w:hint="eastAsia" w:ascii="宋体" w:hAnsi="宋体" w:cs="宋体"/>
          <w:color w:val="auto"/>
          <w:szCs w:val="21"/>
          <w:highlight w:val="none"/>
        </w:rPr>
        <w:t>中标人</w:t>
      </w:r>
      <w:r>
        <w:rPr>
          <w:rFonts w:hint="eastAsia" w:ascii="宋体" w:hAnsi="宋体" w:cs="宋体"/>
          <w:color w:val="auto"/>
          <w:szCs w:val="21"/>
          <w:highlight w:val="none"/>
          <w:lang w:eastAsia="zh-TW"/>
        </w:rPr>
        <w:t>投标文件作实质性修改</w:t>
      </w:r>
      <w:r>
        <w:rPr>
          <w:rFonts w:hint="eastAsia" w:ascii="宋体" w:hAnsi="宋体" w:cs="宋体"/>
          <w:color w:val="auto"/>
          <w:szCs w:val="21"/>
          <w:highlight w:val="none"/>
        </w:rPr>
        <w:t>。</w:t>
      </w:r>
    </w:p>
    <w:p>
      <w:pPr>
        <w:tabs>
          <w:tab w:val="left" w:pos="851"/>
        </w:tabs>
        <w:snapToGrid w:val="0"/>
        <w:spacing w:line="360" w:lineRule="auto"/>
        <w:jc w:val="both"/>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采购人不得向中标人提出任何不合理的要求作为签订合同的条件。</w:t>
      </w:r>
    </w:p>
    <w:p>
      <w:pPr>
        <w:tabs>
          <w:tab w:val="left" w:pos="851"/>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 xml:space="preserve">2.3 </w:t>
      </w:r>
      <w:r>
        <w:rPr>
          <w:rFonts w:hint="eastAsia" w:ascii="宋体" w:hAnsi="宋体" w:cs="宋体"/>
          <w:color w:val="auto"/>
          <w:szCs w:val="21"/>
          <w:highlight w:val="none"/>
        </w:rPr>
        <w:t>自政府采购合同签订之日起</w:t>
      </w:r>
      <w:r>
        <w:rPr>
          <w:rFonts w:ascii="宋体" w:hAnsi="宋体" w:cs="宋体"/>
          <w:color w:val="auto"/>
          <w:szCs w:val="21"/>
          <w:highlight w:val="none"/>
        </w:rPr>
        <w:t>2</w:t>
      </w:r>
      <w:r>
        <w:rPr>
          <w:rFonts w:hint="eastAsia" w:ascii="宋体" w:hAnsi="宋体" w:cs="宋体"/>
          <w:color w:val="auto"/>
          <w:szCs w:val="21"/>
          <w:highlight w:val="none"/>
        </w:rPr>
        <w:t>个工作日内，采购人应将政府采购合同在省级以上人民政府财政部门指定的媒体上公告，但政府采购合同中涉及国家秘密、商业秘密的内容除外。</w:t>
      </w:r>
    </w:p>
    <w:p>
      <w:pPr>
        <w:tabs>
          <w:tab w:val="left" w:pos="851"/>
        </w:tabs>
        <w:snapToGrid w:val="0"/>
        <w:spacing w:line="360" w:lineRule="auto"/>
        <w:ind w:left="420" w:hanging="420" w:hangingChars="200"/>
        <w:jc w:val="both"/>
        <w:rPr>
          <w:rFonts w:ascii="宋体" w:cs="宋体"/>
          <w:strike/>
          <w:color w:val="auto"/>
          <w:szCs w:val="21"/>
          <w:highlight w:val="none"/>
        </w:rPr>
      </w:pPr>
      <w:r>
        <w:rPr>
          <w:rFonts w:ascii="宋体" w:hAnsi="宋体" w:cs="宋体"/>
          <w:color w:val="auto"/>
          <w:szCs w:val="21"/>
          <w:highlight w:val="none"/>
        </w:rPr>
        <w:t xml:space="preserve">2.4 </w:t>
      </w:r>
      <w:r>
        <w:rPr>
          <w:rFonts w:hint="eastAsia" w:ascii="宋体" w:hAnsi="宋体" w:cs="宋体"/>
          <w:color w:val="auto"/>
          <w:szCs w:val="21"/>
          <w:highlight w:val="none"/>
        </w:rPr>
        <w:t>政府采购合同签订之日起</w:t>
      </w:r>
      <w:r>
        <w:rPr>
          <w:rFonts w:ascii="宋体" w:hAnsi="宋体" w:cs="宋体"/>
          <w:color w:val="auto"/>
          <w:szCs w:val="21"/>
          <w:highlight w:val="none"/>
        </w:rPr>
        <w:t>7</w:t>
      </w:r>
      <w:r>
        <w:rPr>
          <w:rFonts w:hint="eastAsia" w:ascii="宋体" w:hAnsi="宋体" w:cs="宋体"/>
          <w:color w:val="auto"/>
          <w:szCs w:val="21"/>
          <w:highlight w:val="none"/>
        </w:rPr>
        <w:t>个工作日内，采购人应将政府采购合同副本报同级政府采购监督管理部门和有关部门备案。</w:t>
      </w:r>
    </w:p>
    <w:p>
      <w:pPr>
        <w:tabs>
          <w:tab w:val="left" w:pos="840"/>
        </w:tabs>
        <w:snapToGrid w:val="0"/>
        <w:spacing w:line="360" w:lineRule="auto"/>
        <w:jc w:val="both"/>
        <w:rPr>
          <w:rFonts w:ascii="宋体" w:cs="宋体"/>
          <w:b/>
          <w:color w:val="auto"/>
          <w:szCs w:val="21"/>
          <w:highlight w:val="none"/>
        </w:rPr>
      </w:pPr>
      <w:r>
        <w:rPr>
          <w:rFonts w:ascii="宋体" w:hAnsi="宋体" w:cs="宋体"/>
          <w:b/>
          <w:color w:val="auto"/>
          <w:szCs w:val="21"/>
          <w:highlight w:val="none"/>
        </w:rPr>
        <w:t xml:space="preserve">3. </w:t>
      </w:r>
      <w:r>
        <w:rPr>
          <w:rFonts w:hint="eastAsia" w:ascii="宋体" w:hAnsi="宋体" w:cs="宋体"/>
          <w:b/>
          <w:color w:val="auto"/>
          <w:szCs w:val="21"/>
          <w:highlight w:val="none"/>
        </w:rPr>
        <w:t>合同的履行</w:t>
      </w:r>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840"/>
        </w:tabs>
        <w:snapToGrid w:val="0"/>
        <w:spacing w:line="360" w:lineRule="auto"/>
        <w:ind w:left="420" w:hanging="420" w:hangingChars="200"/>
        <w:jc w:val="both"/>
        <w:rPr>
          <w:rFonts w:ascii="宋体" w:cs="宋体"/>
          <w:color w:val="auto"/>
          <w:szCs w:val="21"/>
          <w:highlight w:val="none"/>
        </w:rPr>
      </w:pPr>
      <w:r>
        <w:rPr>
          <w:rFonts w:ascii="宋体" w:hAnsi="宋体" w:cs="宋体"/>
          <w:color w:val="auto"/>
          <w:szCs w:val="21"/>
          <w:highlight w:val="none"/>
        </w:rPr>
        <w:t xml:space="preserve">3.2 </w:t>
      </w:r>
      <w:r>
        <w:rPr>
          <w:rFonts w:hint="eastAsia" w:ascii="宋体" w:hAnsi="宋体" w:cs="宋体"/>
          <w:color w:val="auto"/>
          <w:szCs w:val="21"/>
          <w:highlight w:val="none"/>
        </w:rPr>
        <w:t>政府采购合同履行中，采购人需追加与合同标的相同的服务的，在不改变合同其他条款的前提下，可以与中标人签订补充合同，但所补充合同的采购金额不得超过原采购金额的百分之十。签订补充合同的，必须按规定备案。</w:t>
      </w:r>
    </w:p>
    <w:p>
      <w:pPr>
        <w:tabs>
          <w:tab w:val="left" w:pos="840"/>
        </w:tabs>
        <w:snapToGrid w:val="0"/>
        <w:spacing w:line="360" w:lineRule="auto"/>
        <w:ind w:left="422" w:hanging="422" w:hangingChars="200"/>
        <w:jc w:val="both"/>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履约保证金</w:t>
      </w:r>
    </w:p>
    <w:p>
      <w:pPr>
        <w:tabs>
          <w:tab w:val="left" w:pos="840"/>
        </w:tabs>
        <w:snapToGrid w:val="0"/>
        <w:spacing w:line="360" w:lineRule="auto"/>
        <w:ind w:left="420" w:hanging="420" w:hangingChars="200"/>
        <w:jc w:val="both"/>
        <w:rPr>
          <w:rFonts w:ascii="宋体"/>
          <w:color w:val="auto"/>
          <w:highlight w:val="none"/>
        </w:rPr>
      </w:pPr>
      <w:r>
        <w:rPr>
          <w:rFonts w:ascii="宋体" w:hAnsi="宋体" w:cs="宋体"/>
          <w:color w:val="auto"/>
          <w:szCs w:val="21"/>
          <w:highlight w:val="none"/>
        </w:rPr>
        <w:t>4.1</w:t>
      </w:r>
      <w:r>
        <w:rPr>
          <w:rFonts w:hint="eastAsia" w:ascii="宋体" w:hAnsi="宋体"/>
          <w:color w:val="auto"/>
          <w:highlight w:val="none"/>
        </w:rPr>
        <w:t>如果《用户需求书》有要求，</w:t>
      </w:r>
      <w:r>
        <w:rPr>
          <w:rFonts w:hint="eastAsia" w:ascii="宋体" w:hAnsi="宋体"/>
          <w:color w:val="auto"/>
          <w:szCs w:val="21"/>
          <w:highlight w:val="none"/>
        </w:rPr>
        <w:t>中标人应在收到《中标通知书》之日起</w:t>
      </w:r>
      <w:r>
        <w:rPr>
          <w:rFonts w:ascii="宋体" w:hAnsi="宋体"/>
          <w:color w:val="auto"/>
          <w:szCs w:val="21"/>
          <w:highlight w:val="none"/>
        </w:rPr>
        <w:t>5</w:t>
      </w:r>
      <w:r>
        <w:rPr>
          <w:rFonts w:hint="eastAsia" w:ascii="宋体" w:hAnsi="宋体"/>
          <w:color w:val="auto"/>
          <w:szCs w:val="21"/>
          <w:highlight w:val="none"/>
        </w:rPr>
        <w:t>日内</w:t>
      </w:r>
      <w:r>
        <w:rPr>
          <w:rFonts w:hint="eastAsia" w:ascii="宋体" w:hAnsi="宋体"/>
          <w:color w:val="auto"/>
          <w:highlight w:val="none"/>
        </w:rPr>
        <w:t>，应按照合同条款的规定，采用招标文件中提供的履约保证金保函格式或采购人可以接受的其它形式向采购人提交履约保证金。如果中标人不按规定向采购人提交履约担保，采购人将有充分的理由取消其中标资格并不予退还其投标保证金。</w:t>
      </w:r>
    </w:p>
    <w:p>
      <w:pPr>
        <w:tabs>
          <w:tab w:val="left" w:pos="840"/>
        </w:tabs>
        <w:snapToGrid w:val="0"/>
        <w:spacing w:line="360" w:lineRule="auto"/>
        <w:ind w:left="422" w:hanging="422" w:hangingChars="200"/>
        <w:jc w:val="both"/>
        <w:rPr>
          <w:rFonts w:ascii="宋体" w:cs="宋体"/>
          <w:b/>
          <w:color w:val="auto"/>
          <w:szCs w:val="21"/>
          <w:highlight w:val="none"/>
        </w:rPr>
      </w:pPr>
      <w:r>
        <w:rPr>
          <w:rFonts w:ascii="宋体" w:hAnsi="宋体" w:cs="宋体"/>
          <w:b/>
          <w:color w:val="auto"/>
          <w:szCs w:val="21"/>
          <w:highlight w:val="none"/>
        </w:rPr>
        <w:t>5.</w:t>
      </w:r>
      <w:r>
        <w:rPr>
          <w:rFonts w:hint="eastAsia" w:ascii="宋体" w:hAnsi="宋体" w:cs="宋体"/>
          <w:b/>
          <w:color w:val="auto"/>
          <w:szCs w:val="21"/>
          <w:highlight w:val="none"/>
        </w:rPr>
        <w:t>履约验收</w:t>
      </w:r>
    </w:p>
    <w:p>
      <w:pPr>
        <w:tabs>
          <w:tab w:val="left" w:pos="840"/>
        </w:tabs>
        <w:snapToGrid w:val="0"/>
        <w:spacing w:line="360" w:lineRule="auto"/>
        <w:ind w:left="420" w:hanging="420" w:hangingChars="200"/>
        <w:jc w:val="both"/>
        <w:rPr>
          <w:rFonts w:ascii="宋体"/>
          <w:color w:val="auto"/>
          <w:highlight w:val="none"/>
        </w:rPr>
      </w:pPr>
      <w:r>
        <w:rPr>
          <w:rFonts w:ascii="宋体" w:hAnsi="宋体"/>
          <w:color w:val="auto"/>
          <w:highlight w:val="none"/>
        </w:rPr>
        <w:t>5.1</w:t>
      </w:r>
      <w:r>
        <w:rPr>
          <w:rFonts w:hint="eastAsia" w:ascii="宋体" w:hAnsi="宋体"/>
          <w:color w:val="auto"/>
          <w:highlight w:val="none"/>
        </w:rPr>
        <w:t>采购人应当及时对采购项目进行验收。采购人可以邀请参加本项目的其他投标人或者第三方机构参与验收。参与验收的投标人或者第三方机构的意见作为验收书的参考资料一并存档。</w:t>
      </w:r>
    </w:p>
    <w:p>
      <w:pPr>
        <w:autoSpaceDE w:val="0"/>
        <w:autoSpaceDN w:val="0"/>
        <w:adjustRightInd w:val="0"/>
        <w:snapToGrid w:val="0"/>
        <w:spacing w:line="360" w:lineRule="auto"/>
        <w:ind w:left="420" w:right="34" w:hanging="420"/>
        <w:contextualSpacing/>
        <w:rPr>
          <w:rFonts w:ascii="宋体" w:cs="宋体"/>
          <w:color w:val="auto"/>
          <w:kern w:val="2"/>
          <w:szCs w:val="24"/>
          <w:highlight w:val="none"/>
        </w:rPr>
      </w:pPr>
      <w:bookmarkStart w:id="37" w:name="_Toc451323813"/>
      <w:bookmarkStart w:id="38" w:name="_Toc451323776"/>
      <w:r>
        <w:rPr>
          <w:rFonts w:hint="eastAsia" w:ascii="宋体" w:hAnsi="宋体" w:cs="宋体"/>
          <w:b/>
          <w:color w:val="auto"/>
          <w:szCs w:val="21"/>
          <w:highlight w:val="none"/>
        </w:rPr>
        <w:t>八、其他说明</w:t>
      </w:r>
      <w:bookmarkEnd w:id="37"/>
      <w:bookmarkEnd w:id="38"/>
    </w:p>
    <w:p>
      <w:pPr>
        <w:tabs>
          <w:tab w:val="left" w:pos="851"/>
        </w:tabs>
        <w:snapToGrid w:val="0"/>
        <w:spacing w:line="360" w:lineRule="auto"/>
        <w:ind w:left="316" w:hanging="316" w:hangingChars="150"/>
        <w:jc w:val="both"/>
        <w:rPr>
          <w:rFonts w:asci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cs="宋体"/>
          <w:b/>
          <w:color w:val="auto"/>
          <w:szCs w:val="21"/>
          <w:highlight w:val="none"/>
        </w:rPr>
        <w:t>投标人信用信息相关说明</w:t>
      </w:r>
    </w:p>
    <w:p>
      <w:pPr>
        <w:widowControl w:val="0"/>
        <w:spacing w:line="360" w:lineRule="auto"/>
        <w:ind w:firstLine="420" w:firstLineChars="200"/>
        <w:jc w:val="both"/>
        <w:rPr>
          <w:rFonts w:ascii="宋体" w:cs="宋体"/>
          <w:color w:val="auto"/>
          <w:kern w:val="2"/>
          <w:szCs w:val="24"/>
          <w:highlight w:val="none"/>
        </w:rPr>
      </w:pPr>
      <w:r>
        <w:rPr>
          <w:rFonts w:hint="eastAsia" w:ascii="宋体" w:hAnsi="宋体" w:cs="宋体"/>
          <w:color w:val="auto"/>
          <w:kern w:val="2"/>
          <w:szCs w:val="24"/>
          <w:highlight w:val="none"/>
        </w:rPr>
        <w:t>1</w:t>
      </w:r>
      <w:r>
        <w:rPr>
          <w:rFonts w:ascii="宋体" w:hAnsi="宋体" w:cs="宋体"/>
          <w:color w:val="auto"/>
          <w:kern w:val="2"/>
          <w:szCs w:val="24"/>
          <w:highlight w:val="none"/>
        </w:rPr>
        <w:t>.1</w:t>
      </w:r>
      <w:r>
        <w:rPr>
          <w:rFonts w:hint="eastAsia" w:ascii="宋体" w:hAnsi="宋体" w:cs="宋体"/>
          <w:color w:val="auto"/>
          <w:kern w:val="2"/>
          <w:szCs w:val="24"/>
          <w:highlight w:val="none"/>
        </w:rPr>
        <w:t>投标人可自行登录“信用中国”网站（</w:t>
      </w:r>
      <w:r>
        <w:rPr>
          <w:rFonts w:ascii="宋体" w:hAnsi="宋体" w:cs="宋体"/>
          <w:color w:val="auto"/>
          <w:kern w:val="2"/>
          <w:szCs w:val="24"/>
          <w:highlight w:val="none"/>
        </w:rPr>
        <w:t>www.creditchina.gov.cn</w:t>
      </w:r>
      <w:r>
        <w:rPr>
          <w:rFonts w:hint="eastAsia" w:ascii="宋体" w:hAnsi="宋体" w:cs="宋体"/>
          <w:color w:val="auto"/>
          <w:kern w:val="2"/>
          <w:szCs w:val="24"/>
          <w:highlight w:val="none"/>
        </w:rPr>
        <w:t>）及中国政府采购网（</w:t>
      </w:r>
      <w:r>
        <w:rPr>
          <w:rFonts w:ascii="宋体" w:hAnsi="宋体" w:cs="宋体"/>
          <w:color w:val="auto"/>
          <w:kern w:val="2"/>
          <w:szCs w:val="24"/>
          <w:highlight w:val="none"/>
        </w:rPr>
        <w:t>www.ccgp.gov.cn</w:t>
      </w:r>
      <w:r>
        <w:rPr>
          <w:rFonts w:hint="eastAsia" w:ascii="宋体" w:hAnsi="宋体" w:cs="宋体"/>
          <w:color w:val="auto"/>
          <w:kern w:val="2"/>
          <w:szCs w:val="24"/>
          <w:highlight w:val="none"/>
        </w:rPr>
        <w:t>）查询自己的信用信息，若上述网站上显示有投标人的不良信息而该不良信息实际已经执行完成或过期的，请及时跟上述网站管理部门联系。开标当天仅依据当天在上述网站上的查询记录进行审查。</w:t>
      </w:r>
    </w:p>
    <w:p>
      <w:pPr>
        <w:tabs>
          <w:tab w:val="left" w:pos="851"/>
        </w:tabs>
        <w:snapToGrid w:val="0"/>
        <w:spacing w:line="360" w:lineRule="auto"/>
        <w:ind w:firstLine="424" w:firstLineChars="202"/>
        <w:jc w:val="both"/>
        <w:rPr>
          <w:rFonts w:asci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投标人提供的信用报告必须由在中国人民银行进行备案的第三方信用服务机构出具，否则将影响其商务得分。</w:t>
      </w:r>
    </w:p>
    <w:p>
      <w:pPr>
        <w:spacing w:line="360" w:lineRule="auto"/>
        <w:rPr>
          <w:rFonts w:ascii="宋体" w:cs="宋体"/>
          <w:b/>
          <w:bCs/>
          <w:color w:val="auto"/>
          <w:highlight w:val="none"/>
        </w:rPr>
      </w:pPr>
      <w:r>
        <w:rPr>
          <w:rFonts w:hint="eastAsia" w:ascii="宋体" w:hAnsi="宋体" w:cs="宋体"/>
          <w:b/>
          <w:bCs/>
          <w:color w:val="auto"/>
          <w:highlight w:val="none"/>
        </w:rPr>
        <w:t>2</w:t>
      </w:r>
      <w:r>
        <w:rPr>
          <w:rFonts w:ascii="宋体" w:hAnsi="宋体" w:cs="宋体"/>
          <w:b/>
          <w:bCs/>
          <w:color w:val="auto"/>
          <w:highlight w:val="none"/>
        </w:rPr>
        <w:t>.</w:t>
      </w:r>
      <w:r>
        <w:rPr>
          <w:rFonts w:hint="eastAsia" w:ascii="宋体" w:hAnsi="宋体" w:cs="宋体"/>
          <w:b/>
          <w:bCs/>
          <w:color w:val="auto"/>
          <w:highlight w:val="none"/>
        </w:rPr>
        <w:t>中小微企业质押融资</w:t>
      </w:r>
    </w:p>
    <w:p>
      <w:pPr>
        <w:spacing w:line="460" w:lineRule="exact"/>
        <w:ind w:left="142" w:firstLine="210" w:firstLineChars="100"/>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根据《中国人民银行中山市中心支行中山市财政局中山市经济和信息化局中山市人民政府金融工作局关于印发</w:t>
      </w:r>
      <w:r>
        <w:rPr>
          <w:rFonts w:ascii="宋体" w:hAnsi="宋体" w:cs="宋体"/>
          <w:color w:val="auto"/>
          <w:szCs w:val="21"/>
          <w:highlight w:val="none"/>
        </w:rPr>
        <w:t>&lt;</w:t>
      </w:r>
      <w:r>
        <w:rPr>
          <w:rFonts w:hint="eastAsia" w:ascii="宋体" w:hAnsi="宋体" w:cs="宋体"/>
          <w:color w:val="auto"/>
          <w:szCs w:val="21"/>
          <w:highlight w:val="none"/>
        </w:rPr>
        <w:t>中山市政府采购支持中小微企业质押融资的实施意见</w:t>
      </w:r>
      <w:r>
        <w:rPr>
          <w:rFonts w:ascii="宋体" w:hAnsi="宋体" w:cs="宋体"/>
          <w:color w:val="auto"/>
          <w:szCs w:val="21"/>
          <w:highlight w:val="none"/>
        </w:rPr>
        <w:t>&gt;</w:t>
      </w:r>
      <w:r>
        <w:rPr>
          <w:rFonts w:hint="eastAsia" w:ascii="宋体" w:hAnsi="宋体" w:cs="宋体"/>
          <w:color w:val="auto"/>
          <w:szCs w:val="21"/>
          <w:highlight w:val="none"/>
        </w:rPr>
        <w:t>的通知》（中人银发【</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82</w:t>
      </w:r>
      <w:r>
        <w:rPr>
          <w:rFonts w:hint="eastAsia" w:ascii="宋体" w:hAnsi="宋体" w:cs="宋体"/>
          <w:color w:val="auto"/>
          <w:szCs w:val="21"/>
          <w:highlight w:val="none"/>
        </w:rPr>
        <w:t>号）规定，凡通过政府采购法定程序取得我市政府采购合同的中小微企业，均可向辖内开展政府采购质押融资业务的银行机构申请办理融资业务。</w:t>
      </w:r>
    </w:p>
    <w:p>
      <w:pPr>
        <w:spacing w:line="460" w:lineRule="exact"/>
        <w:ind w:left="142" w:firstLine="210" w:firstLineChars="100"/>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w:t>
      </w:r>
      <w:r>
        <w:rPr>
          <w:rFonts w:hint="eastAsia" w:ascii="宋体" w:hAnsi="宋体" w:cs="宋体"/>
          <w:color w:val="auto"/>
          <w:szCs w:val="21"/>
          <w:highlight w:val="none"/>
        </w:rPr>
        <w:t>截至当前，辖内开展政府采购质押融资业务的银行机构</w:t>
      </w:r>
      <w:r>
        <w:rPr>
          <w:rFonts w:hint="eastAsia" w:ascii="宋体" w:hAnsi="宋体" w:cs="宋体"/>
          <w:bCs/>
          <w:color w:val="auto"/>
          <w:szCs w:val="21"/>
          <w:highlight w:val="none"/>
        </w:rPr>
        <w:t>报备的联系方式</w:t>
      </w:r>
      <w:r>
        <w:rPr>
          <w:rFonts w:hint="eastAsia" w:ascii="宋体" w:hAnsi="宋体" w:cs="宋体"/>
          <w:color w:val="auto"/>
          <w:szCs w:val="21"/>
          <w:highlight w:val="none"/>
        </w:rPr>
        <w:t>如下：</w:t>
      </w:r>
    </w:p>
    <w:tbl>
      <w:tblPr>
        <w:tblStyle w:val="55"/>
        <w:tblW w:w="937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390"/>
        <w:gridCol w:w="2600"/>
        <w:gridCol w:w="1080"/>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708" w:type="dxa"/>
            <w:vAlign w:val="center"/>
          </w:tcPr>
          <w:p>
            <w:pPr>
              <w:widowControl w:val="0"/>
              <w:spacing w:line="240" w:lineRule="exact"/>
              <w:jc w:val="center"/>
              <w:rPr>
                <w:rFonts w:ascii="宋体"/>
                <w:b/>
                <w:color w:val="auto"/>
                <w:kern w:val="2"/>
                <w:szCs w:val="21"/>
                <w:highlight w:val="none"/>
                <w:shd w:val="clear" w:color="auto" w:fill="FFFFFF"/>
              </w:rPr>
            </w:pPr>
            <w:r>
              <w:rPr>
                <w:rFonts w:hint="eastAsia" w:ascii="宋体" w:hAnsi="宋体"/>
                <w:b/>
                <w:color w:val="auto"/>
                <w:kern w:val="2"/>
                <w:szCs w:val="21"/>
                <w:highlight w:val="none"/>
              </w:rPr>
              <w:t>序号</w:t>
            </w:r>
          </w:p>
        </w:tc>
        <w:tc>
          <w:tcPr>
            <w:tcW w:w="2390" w:type="dxa"/>
            <w:vAlign w:val="center"/>
          </w:tcPr>
          <w:p>
            <w:pPr>
              <w:widowControl w:val="0"/>
              <w:spacing w:line="240" w:lineRule="exact"/>
              <w:jc w:val="center"/>
              <w:rPr>
                <w:rFonts w:ascii="宋体"/>
                <w:b/>
                <w:color w:val="auto"/>
                <w:kern w:val="2"/>
                <w:szCs w:val="21"/>
                <w:highlight w:val="none"/>
                <w:shd w:val="clear" w:color="auto" w:fill="FFFFFF"/>
              </w:rPr>
            </w:pPr>
            <w:r>
              <w:rPr>
                <w:rFonts w:hint="eastAsia" w:ascii="宋体" w:hAnsi="宋体" w:cs="宋体"/>
                <w:b/>
                <w:color w:val="auto"/>
                <w:kern w:val="2"/>
                <w:szCs w:val="21"/>
                <w:highlight w:val="none"/>
              </w:rPr>
              <w:t>银</w:t>
            </w:r>
            <w:r>
              <w:rPr>
                <w:rFonts w:hint="eastAsia" w:ascii="宋体" w:hAnsi="宋体" w:cs="Batang"/>
                <w:b/>
                <w:color w:val="auto"/>
                <w:kern w:val="2"/>
                <w:szCs w:val="21"/>
                <w:highlight w:val="none"/>
              </w:rPr>
              <w:t>行机</w:t>
            </w:r>
            <w:r>
              <w:rPr>
                <w:rFonts w:hint="eastAsia" w:ascii="宋体" w:hAnsi="宋体"/>
                <w:b/>
                <w:color w:val="auto"/>
                <w:kern w:val="2"/>
                <w:szCs w:val="21"/>
                <w:highlight w:val="none"/>
              </w:rPr>
              <w:t>构</w:t>
            </w:r>
          </w:p>
        </w:tc>
        <w:tc>
          <w:tcPr>
            <w:tcW w:w="2600" w:type="dxa"/>
            <w:vAlign w:val="center"/>
          </w:tcPr>
          <w:p>
            <w:pPr>
              <w:widowControl w:val="0"/>
              <w:spacing w:line="240" w:lineRule="exact"/>
              <w:jc w:val="center"/>
              <w:rPr>
                <w:rFonts w:ascii="宋体"/>
                <w:b/>
                <w:color w:val="auto"/>
                <w:kern w:val="2"/>
                <w:szCs w:val="21"/>
                <w:highlight w:val="none"/>
                <w:shd w:val="clear" w:color="auto" w:fill="FFFFFF"/>
              </w:rPr>
            </w:pPr>
            <w:r>
              <w:rPr>
                <w:rFonts w:hint="eastAsia" w:ascii="宋体" w:hAnsi="宋体" w:cs="宋体"/>
                <w:b/>
                <w:color w:val="auto"/>
                <w:kern w:val="2"/>
                <w:szCs w:val="21"/>
                <w:highlight w:val="none"/>
              </w:rPr>
              <w:t>经办</w:t>
            </w:r>
            <w:r>
              <w:rPr>
                <w:rFonts w:hint="eastAsia" w:ascii="宋体" w:hAnsi="宋体" w:cs="Batang"/>
                <w:b/>
                <w:color w:val="auto"/>
                <w:kern w:val="2"/>
                <w:szCs w:val="21"/>
                <w:highlight w:val="none"/>
              </w:rPr>
              <w:t>部</w:t>
            </w:r>
            <w:r>
              <w:rPr>
                <w:rFonts w:hint="eastAsia" w:ascii="宋体" w:hAnsi="宋体"/>
                <w:b/>
                <w:color w:val="auto"/>
                <w:kern w:val="2"/>
                <w:szCs w:val="21"/>
                <w:highlight w:val="none"/>
              </w:rPr>
              <w:t>门</w:t>
            </w:r>
          </w:p>
        </w:tc>
        <w:tc>
          <w:tcPr>
            <w:tcW w:w="1080" w:type="dxa"/>
            <w:vAlign w:val="center"/>
          </w:tcPr>
          <w:p>
            <w:pPr>
              <w:widowControl w:val="0"/>
              <w:spacing w:line="240" w:lineRule="exact"/>
              <w:jc w:val="center"/>
              <w:rPr>
                <w:rFonts w:ascii="宋体"/>
                <w:b/>
                <w:color w:val="auto"/>
                <w:kern w:val="2"/>
                <w:szCs w:val="21"/>
                <w:highlight w:val="none"/>
                <w:shd w:val="clear" w:color="auto" w:fill="FFFFFF"/>
              </w:rPr>
            </w:pPr>
            <w:r>
              <w:rPr>
                <w:rFonts w:hint="eastAsia" w:ascii="宋体" w:hAnsi="宋体" w:cs="宋体"/>
                <w:b/>
                <w:color w:val="auto"/>
                <w:kern w:val="2"/>
                <w:szCs w:val="21"/>
                <w:highlight w:val="none"/>
              </w:rPr>
              <w:t>联</w:t>
            </w:r>
            <w:r>
              <w:rPr>
                <w:rFonts w:hint="eastAsia" w:ascii="宋体" w:hAnsi="宋体" w:cs="Batang"/>
                <w:b/>
                <w:color w:val="auto"/>
                <w:kern w:val="2"/>
                <w:szCs w:val="21"/>
                <w:highlight w:val="none"/>
              </w:rPr>
              <w:t>系人</w:t>
            </w:r>
          </w:p>
        </w:tc>
        <w:tc>
          <w:tcPr>
            <w:tcW w:w="2598" w:type="dxa"/>
            <w:vAlign w:val="center"/>
          </w:tcPr>
          <w:p>
            <w:pPr>
              <w:widowControl w:val="0"/>
              <w:spacing w:line="240" w:lineRule="exact"/>
              <w:jc w:val="center"/>
              <w:rPr>
                <w:rFonts w:ascii="宋体"/>
                <w:b/>
                <w:color w:val="auto"/>
                <w:kern w:val="2"/>
                <w:szCs w:val="21"/>
                <w:highlight w:val="none"/>
                <w:shd w:val="clear" w:color="auto" w:fill="FFFFFF"/>
              </w:rPr>
            </w:pPr>
            <w:r>
              <w:rPr>
                <w:rFonts w:hint="eastAsia" w:ascii="宋体" w:hAnsi="宋体" w:cs="宋体"/>
                <w:b/>
                <w:color w:val="auto"/>
                <w:kern w:val="2"/>
                <w:szCs w:val="21"/>
                <w:highlight w:val="none"/>
              </w:rPr>
              <w:t>联</w:t>
            </w:r>
            <w:r>
              <w:rPr>
                <w:rFonts w:hint="eastAsia" w:ascii="宋体" w:hAnsi="宋体" w:cs="Batang"/>
                <w:b/>
                <w:color w:val="auto"/>
                <w:kern w:val="2"/>
                <w:szCs w:val="21"/>
                <w:highlight w:val="none"/>
              </w:rPr>
              <w:t>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0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1</w:t>
            </w:r>
          </w:p>
        </w:tc>
        <w:tc>
          <w:tcPr>
            <w:tcW w:w="239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中国农业银行中山分行</w:t>
            </w:r>
          </w:p>
        </w:tc>
        <w:tc>
          <w:tcPr>
            <w:tcW w:w="260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公司业务部（普惠金融事业部）</w:t>
            </w: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s="宋体"/>
                <w:color w:val="auto"/>
                <w:kern w:val="2"/>
                <w:szCs w:val="21"/>
                <w:highlight w:val="none"/>
              </w:rPr>
              <w:t>刘</w:t>
            </w:r>
            <w:r>
              <w:rPr>
                <w:rFonts w:hint="eastAsia" w:ascii="宋体" w:hAnsi="宋体" w:cs="Batang"/>
                <w:color w:val="auto"/>
                <w:kern w:val="2"/>
                <w:szCs w:val="21"/>
                <w:highlight w:val="none"/>
              </w:rPr>
              <w:t>文</w:t>
            </w:r>
            <w:r>
              <w:rPr>
                <w:rFonts w:hint="eastAsia" w:ascii="宋体" w:hAnsi="宋体"/>
                <w:color w:val="auto"/>
                <w:kern w:val="2"/>
                <w:szCs w:val="21"/>
                <w:highlight w:val="none"/>
              </w:rPr>
              <w:t>锋</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15914681189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2</w:t>
            </w:r>
          </w:p>
        </w:tc>
        <w:tc>
          <w:tcPr>
            <w:tcW w:w="2390"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中信银行中山分行</w:t>
            </w:r>
          </w:p>
        </w:tc>
        <w:tc>
          <w:tcPr>
            <w:tcW w:w="260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公司银行部</w:t>
            </w: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文丹</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13902592267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39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60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s="宋体"/>
                <w:color w:val="auto"/>
                <w:kern w:val="2"/>
                <w:szCs w:val="21"/>
                <w:highlight w:val="none"/>
              </w:rPr>
              <w:t>风险</w:t>
            </w:r>
            <w:r>
              <w:rPr>
                <w:rFonts w:hint="eastAsia" w:ascii="宋体" w:hAnsi="宋体" w:cs="Batang"/>
                <w:color w:val="auto"/>
                <w:kern w:val="2"/>
                <w:szCs w:val="21"/>
                <w:highlight w:val="none"/>
              </w:rPr>
              <w:t>管理部</w:t>
            </w: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s="宋体"/>
                <w:color w:val="auto"/>
                <w:kern w:val="2"/>
                <w:szCs w:val="21"/>
                <w:highlight w:val="none"/>
              </w:rPr>
              <w:t>赵</w:t>
            </w:r>
            <w:r>
              <w:rPr>
                <w:rFonts w:hint="eastAsia" w:ascii="宋体" w:hAnsi="宋体" w:cs="Batang"/>
                <w:color w:val="auto"/>
                <w:kern w:val="2"/>
                <w:szCs w:val="21"/>
                <w:highlight w:val="none"/>
              </w:rPr>
              <w:t>月</w:t>
            </w:r>
            <w:r>
              <w:rPr>
                <w:rFonts w:hint="eastAsia" w:ascii="宋体" w:hAnsi="宋体"/>
                <w:color w:val="auto"/>
                <w:kern w:val="2"/>
                <w:szCs w:val="21"/>
                <w:highlight w:val="none"/>
              </w:rPr>
              <w:t>华</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18938727559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3</w:t>
            </w:r>
          </w:p>
        </w:tc>
        <w:tc>
          <w:tcPr>
            <w:tcW w:w="2390"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渤海银行中山分行</w:t>
            </w:r>
          </w:p>
        </w:tc>
        <w:tc>
          <w:tcPr>
            <w:tcW w:w="2600"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公司金融部</w:t>
            </w: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s="宋体"/>
                <w:color w:val="auto"/>
                <w:kern w:val="2"/>
                <w:szCs w:val="21"/>
                <w:highlight w:val="none"/>
              </w:rPr>
              <w:t>吴</w:t>
            </w:r>
            <w:r>
              <w:rPr>
                <w:rFonts w:hint="eastAsia" w:ascii="宋体" w:hAnsi="宋体" w:cs="Batang"/>
                <w:color w:val="auto"/>
                <w:kern w:val="2"/>
                <w:szCs w:val="21"/>
                <w:highlight w:val="none"/>
              </w:rPr>
              <w:t>事成</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0760-87911816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39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60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袁筱雯</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0760-87911859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4</w:t>
            </w:r>
          </w:p>
        </w:tc>
        <w:tc>
          <w:tcPr>
            <w:tcW w:w="2390"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广</w:t>
            </w:r>
            <w:r>
              <w:rPr>
                <w:rFonts w:hint="eastAsia" w:ascii="宋体" w:hAnsi="宋体" w:cs="宋体"/>
                <w:color w:val="auto"/>
                <w:kern w:val="2"/>
                <w:szCs w:val="21"/>
                <w:highlight w:val="none"/>
              </w:rPr>
              <w:t>发银</w:t>
            </w:r>
            <w:r>
              <w:rPr>
                <w:rFonts w:hint="eastAsia" w:ascii="宋体" w:hAnsi="宋体" w:cs="Batang"/>
                <w:color w:val="auto"/>
                <w:kern w:val="2"/>
                <w:szCs w:val="21"/>
                <w:highlight w:val="none"/>
              </w:rPr>
              <w:t>行中山分行</w:t>
            </w:r>
          </w:p>
        </w:tc>
        <w:tc>
          <w:tcPr>
            <w:tcW w:w="2600"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公司银行部</w:t>
            </w: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董永锋</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0760-88862907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39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60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徐菁</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0760-88862992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39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60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章海珊</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0760-88862956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5</w:t>
            </w:r>
          </w:p>
        </w:tc>
        <w:tc>
          <w:tcPr>
            <w:tcW w:w="2390"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中山农村商业银行</w:t>
            </w:r>
          </w:p>
        </w:tc>
        <w:tc>
          <w:tcPr>
            <w:tcW w:w="2600"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公司业务部</w:t>
            </w: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梁搴</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0760-88227161</w:t>
            </w:r>
            <w:r>
              <w:rPr>
                <w:rFonts w:hint="eastAsia" w:ascii="宋体" w:hAnsi="宋体"/>
                <w:color w:val="auto"/>
                <w:kern w:val="2"/>
                <w:szCs w:val="21"/>
                <w:highlight w:val="none"/>
              </w:rPr>
              <w:t>、</w:t>
            </w:r>
            <w:r>
              <w:rPr>
                <w:rFonts w:ascii="宋体" w:hAnsi="宋体"/>
                <w:color w:val="auto"/>
                <w:kern w:val="2"/>
                <w:szCs w:val="21"/>
                <w:highlight w:val="none"/>
              </w:rPr>
              <w:t>15019540000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39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60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s="宋体"/>
                <w:color w:val="auto"/>
                <w:kern w:val="2"/>
                <w:szCs w:val="21"/>
                <w:highlight w:val="none"/>
              </w:rPr>
              <w:t>苏</w:t>
            </w:r>
            <w:r>
              <w:rPr>
                <w:rFonts w:hint="eastAsia" w:ascii="宋体" w:hAnsi="宋体" w:cs="Batang"/>
                <w:color w:val="auto"/>
                <w:kern w:val="2"/>
                <w:szCs w:val="21"/>
                <w:highlight w:val="none"/>
              </w:rPr>
              <w:t>天牧</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0760-88388921</w:t>
            </w:r>
            <w:r>
              <w:rPr>
                <w:rFonts w:hint="eastAsia" w:ascii="宋体" w:hAnsi="宋体"/>
                <w:color w:val="auto"/>
                <w:kern w:val="2"/>
                <w:szCs w:val="21"/>
                <w:highlight w:val="none"/>
              </w:rPr>
              <w:t>、</w:t>
            </w:r>
            <w:r>
              <w:rPr>
                <w:rFonts w:ascii="宋体" w:hAnsi="宋体"/>
                <w:color w:val="auto"/>
                <w:kern w:val="2"/>
                <w:szCs w:val="21"/>
                <w:highlight w:val="none"/>
              </w:rPr>
              <w:t>13622700101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6</w:t>
            </w:r>
          </w:p>
        </w:tc>
        <w:tc>
          <w:tcPr>
            <w:tcW w:w="2390"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中国建设银行中山市分行</w:t>
            </w:r>
          </w:p>
        </w:tc>
        <w:tc>
          <w:tcPr>
            <w:tcW w:w="2600"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普惠金融业务部</w:t>
            </w: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郭桂云</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13703043039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39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60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s="宋体"/>
                <w:color w:val="auto"/>
                <w:kern w:val="2"/>
                <w:szCs w:val="21"/>
                <w:highlight w:val="none"/>
              </w:rPr>
              <w:t>陈</w:t>
            </w:r>
            <w:r>
              <w:rPr>
                <w:rFonts w:hint="eastAsia" w:ascii="宋体" w:hAnsi="宋体" w:cs="Batang"/>
                <w:color w:val="auto"/>
                <w:kern w:val="2"/>
                <w:szCs w:val="21"/>
                <w:highlight w:val="none"/>
              </w:rPr>
              <w:t>壁</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13790746032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39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2600" w:type="dxa"/>
            <w:vMerge w:val="continue"/>
            <w:vAlign w:val="center"/>
          </w:tcPr>
          <w:p>
            <w:pPr>
              <w:widowControl w:val="0"/>
              <w:spacing w:line="240" w:lineRule="exact"/>
              <w:jc w:val="center"/>
              <w:rPr>
                <w:rFonts w:ascii="宋体"/>
                <w:color w:val="auto"/>
                <w:kern w:val="2"/>
                <w:szCs w:val="21"/>
                <w:highlight w:val="none"/>
                <w:shd w:val="clear" w:color="auto" w:fill="FFFFFF"/>
              </w:rPr>
            </w:pP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s="宋体"/>
                <w:color w:val="auto"/>
                <w:kern w:val="2"/>
                <w:szCs w:val="21"/>
                <w:highlight w:val="none"/>
              </w:rPr>
              <w:t>刘华胜</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13824770347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7</w:t>
            </w:r>
          </w:p>
        </w:tc>
        <w:tc>
          <w:tcPr>
            <w:tcW w:w="2390" w:type="dxa"/>
            <w:vMerge w:val="restart"/>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中国农业发展银行中山市分行</w:t>
            </w:r>
          </w:p>
        </w:tc>
        <w:tc>
          <w:tcPr>
            <w:tcW w:w="260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客户业务部</w:t>
            </w:r>
          </w:p>
        </w:tc>
        <w:tc>
          <w:tcPr>
            <w:tcW w:w="1080" w:type="dxa"/>
            <w:vAlign w:val="center"/>
          </w:tcPr>
          <w:p>
            <w:pPr>
              <w:widowControl w:val="0"/>
              <w:spacing w:line="240" w:lineRule="exact"/>
              <w:jc w:val="center"/>
              <w:rPr>
                <w:rFonts w:ascii="宋体"/>
                <w:color w:val="auto"/>
                <w:kern w:val="2"/>
                <w:szCs w:val="21"/>
                <w:highlight w:val="none"/>
                <w:shd w:val="clear" w:color="auto" w:fill="FFFFFF"/>
              </w:rPr>
            </w:pPr>
            <w:r>
              <w:rPr>
                <w:rFonts w:hint="eastAsia" w:ascii="宋体" w:hAnsi="宋体"/>
                <w:color w:val="auto"/>
                <w:kern w:val="2"/>
                <w:szCs w:val="21"/>
                <w:highlight w:val="none"/>
              </w:rPr>
              <w:t>李潇</w:t>
            </w:r>
          </w:p>
        </w:tc>
        <w:tc>
          <w:tcPr>
            <w:tcW w:w="2598" w:type="dxa"/>
            <w:vAlign w:val="center"/>
          </w:tcPr>
          <w:p>
            <w:pPr>
              <w:widowControl w:val="0"/>
              <w:spacing w:line="240" w:lineRule="exact"/>
              <w:jc w:val="center"/>
              <w:rPr>
                <w:rFonts w:ascii="宋体"/>
                <w:color w:val="auto"/>
                <w:kern w:val="2"/>
                <w:szCs w:val="21"/>
                <w:highlight w:val="none"/>
                <w:shd w:val="clear" w:color="auto" w:fill="FFFFFF"/>
              </w:rPr>
            </w:pPr>
            <w:r>
              <w:rPr>
                <w:rFonts w:ascii="宋体" w:hAnsi="宋体"/>
                <w:color w:val="auto"/>
                <w:kern w:val="2"/>
                <w:szCs w:val="21"/>
                <w:highlight w:val="none"/>
              </w:rPr>
              <w:t>0760-88619134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vAlign w:val="center"/>
          </w:tcPr>
          <w:p>
            <w:pPr>
              <w:widowControl w:val="0"/>
              <w:jc w:val="center"/>
              <w:rPr>
                <w:rFonts w:ascii="宋体"/>
                <w:color w:val="auto"/>
                <w:kern w:val="2"/>
                <w:szCs w:val="21"/>
                <w:highlight w:val="none"/>
                <w:shd w:val="clear" w:color="auto" w:fill="FFFFFF"/>
              </w:rPr>
            </w:pPr>
          </w:p>
        </w:tc>
        <w:tc>
          <w:tcPr>
            <w:tcW w:w="2390" w:type="dxa"/>
            <w:vMerge w:val="continue"/>
            <w:vAlign w:val="center"/>
          </w:tcPr>
          <w:p>
            <w:pPr>
              <w:widowControl w:val="0"/>
              <w:jc w:val="center"/>
              <w:rPr>
                <w:rFonts w:ascii="宋体"/>
                <w:color w:val="auto"/>
                <w:kern w:val="2"/>
                <w:szCs w:val="21"/>
                <w:highlight w:val="none"/>
                <w:shd w:val="clear" w:color="auto" w:fill="FFFFFF"/>
              </w:rPr>
            </w:pPr>
          </w:p>
        </w:tc>
        <w:tc>
          <w:tcPr>
            <w:tcW w:w="260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信贷与风险管理部</w:t>
            </w:r>
          </w:p>
        </w:tc>
        <w:tc>
          <w:tcPr>
            <w:tcW w:w="1080" w:type="dxa"/>
            <w:vAlign w:val="center"/>
          </w:tcPr>
          <w:p>
            <w:pPr>
              <w:widowControl w:val="0"/>
              <w:jc w:val="center"/>
              <w:rPr>
                <w:rFonts w:ascii="宋体"/>
                <w:color w:val="auto"/>
                <w:kern w:val="2"/>
                <w:szCs w:val="21"/>
                <w:highlight w:val="none"/>
                <w:shd w:val="clear" w:color="auto" w:fill="FFFFFF"/>
              </w:rPr>
            </w:pPr>
            <w:r>
              <w:rPr>
                <w:rFonts w:hint="eastAsia" w:ascii="宋体" w:hAnsi="宋体" w:cs="宋体"/>
                <w:color w:val="auto"/>
                <w:kern w:val="2"/>
                <w:szCs w:val="21"/>
                <w:highlight w:val="none"/>
              </w:rPr>
              <w:t>陈宝</w:t>
            </w:r>
            <w:r>
              <w:rPr>
                <w:rFonts w:hint="eastAsia" w:ascii="宋体" w:hAnsi="宋体" w:cs="Batang"/>
                <w:color w:val="auto"/>
                <w:kern w:val="2"/>
                <w:szCs w:val="21"/>
                <w:highlight w:val="none"/>
              </w:rPr>
              <w:t>怡</w:t>
            </w:r>
          </w:p>
        </w:tc>
        <w:tc>
          <w:tcPr>
            <w:tcW w:w="2598" w:type="dxa"/>
            <w:vAlign w:val="center"/>
          </w:tcPr>
          <w:p>
            <w:pPr>
              <w:widowControl w:val="0"/>
              <w:jc w:val="center"/>
              <w:rPr>
                <w:rFonts w:ascii="宋体"/>
                <w:color w:val="auto"/>
                <w:kern w:val="2"/>
                <w:szCs w:val="21"/>
                <w:highlight w:val="none"/>
                <w:shd w:val="clear" w:color="auto" w:fill="FFFFFF"/>
              </w:rPr>
            </w:pPr>
            <w:r>
              <w:rPr>
                <w:rFonts w:ascii="宋体" w:hAnsi="宋体"/>
                <w:color w:val="auto"/>
                <w:kern w:val="2"/>
                <w:szCs w:val="21"/>
                <w:highlight w:val="none"/>
              </w:rPr>
              <w:t>0760-88619626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val="0"/>
              <w:jc w:val="center"/>
              <w:rPr>
                <w:rFonts w:ascii="宋体"/>
                <w:color w:val="auto"/>
                <w:kern w:val="2"/>
                <w:szCs w:val="21"/>
                <w:highlight w:val="none"/>
                <w:shd w:val="clear" w:color="auto" w:fill="FFFFFF"/>
              </w:rPr>
            </w:pPr>
            <w:r>
              <w:rPr>
                <w:rFonts w:ascii="宋体" w:hAnsi="宋体"/>
                <w:color w:val="auto"/>
                <w:kern w:val="2"/>
                <w:szCs w:val="21"/>
                <w:highlight w:val="none"/>
              </w:rPr>
              <w:t>8</w:t>
            </w:r>
          </w:p>
        </w:tc>
        <w:tc>
          <w:tcPr>
            <w:tcW w:w="239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上海浦东发展银行中山分行</w:t>
            </w:r>
          </w:p>
        </w:tc>
        <w:tc>
          <w:tcPr>
            <w:tcW w:w="260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公司部</w:t>
            </w:r>
          </w:p>
        </w:tc>
        <w:tc>
          <w:tcPr>
            <w:tcW w:w="108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林于露</w:t>
            </w:r>
          </w:p>
        </w:tc>
        <w:tc>
          <w:tcPr>
            <w:tcW w:w="2598" w:type="dxa"/>
            <w:vAlign w:val="center"/>
          </w:tcPr>
          <w:p>
            <w:pPr>
              <w:widowControl w:val="0"/>
              <w:jc w:val="center"/>
              <w:rPr>
                <w:rFonts w:ascii="宋体"/>
                <w:color w:val="auto"/>
                <w:kern w:val="2"/>
                <w:szCs w:val="21"/>
                <w:highlight w:val="none"/>
                <w:shd w:val="clear" w:color="auto" w:fill="FFFFFF"/>
              </w:rPr>
            </w:pPr>
            <w:r>
              <w:rPr>
                <w:rFonts w:ascii="宋体" w:hAnsi="宋体"/>
                <w:color w:val="auto"/>
                <w:kern w:val="2"/>
                <w:szCs w:val="21"/>
                <w:highlight w:val="none"/>
              </w:rPr>
              <w:t>0760-89982335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val="0"/>
              <w:jc w:val="center"/>
              <w:rPr>
                <w:rFonts w:ascii="宋体"/>
                <w:color w:val="auto"/>
                <w:kern w:val="2"/>
                <w:szCs w:val="21"/>
                <w:highlight w:val="none"/>
                <w:shd w:val="clear" w:color="auto" w:fill="FFFFFF"/>
              </w:rPr>
            </w:pPr>
            <w:r>
              <w:rPr>
                <w:rFonts w:ascii="宋体" w:hAnsi="宋体"/>
                <w:color w:val="auto"/>
                <w:kern w:val="2"/>
                <w:szCs w:val="21"/>
                <w:highlight w:val="none"/>
              </w:rPr>
              <w:t>9</w:t>
            </w:r>
          </w:p>
        </w:tc>
        <w:tc>
          <w:tcPr>
            <w:tcW w:w="239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中国银行中山分行</w:t>
            </w:r>
          </w:p>
        </w:tc>
        <w:tc>
          <w:tcPr>
            <w:tcW w:w="260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中小企业中心</w:t>
            </w:r>
          </w:p>
        </w:tc>
        <w:tc>
          <w:tcPr>
            <w:tcW w:w="108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肖东奇</w:t>
            </w:r>
          </w:p>
        </w:tc>
        <w:tc>
          <w:tcPr>
            <w:tcW w:w="2598" w:type="dxa"/>
            <w:vAlign w:val="center"/>
          </w:tcPr>
          <w:p>
            <w:pPr>
              <w:widowControl w:val="0"/>
              <w:jc w:val="center"/>
              <w:rPr>
                <w:rFonts w:ascii="宋体"/>
                <w:color w:val="auto"/>
                <w:kern w:val="2"/>
                <w:szCs w:val="21"/>
                <w:highlight w:val="none"/>
                <w:shd w:val="clear" w:color="auto" w:fill="FFFFFF"/>
              </w:rPr>
            </w:pPr>
            <w:r>
              <w:rPr>
                <w:rFonts w:ascii="宋体" w:hAnsi="宋体"/>
                <w:color w:val="auto"/>
                <w:kern w:val="2"/>
                <w:szCs w:val="21"/>
                <w:highlight w:val="none"/>
              </w:rPr>
              <w:t>0760-86998780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widowControl w:val="0"/>
              <w:jc w:val="center"/>
              <w:rPr>
                <w:rFonts w:ascii="宋体"/>
                <w:color w:val="auto"/>
                <w:kern w:val="2"/>
                <w:szCs w:val="21"/>
                <w:highlight w:val="none"/>
                <w:shd w:val="clear" w:color="auto" w:fill="FFFFFF"/>
              </w:rPr>
            </w:pPr>
            <w:r>
              <w:rPr>
                <w:rFonts w:ascii="宋体" w:hAnsi="宋体"/>
                <w:color w:val="auto"/>
                <w:kern w:val="2"/>
                <w:szCs w:val="21"/>
                <w:highlight w:val="none"/>
              </w:rPr>
              <w:t>10</w:t>
            </w:r>
          </w:p>
        </w:tc>
        <w:tc>
          <w:tcPr>
            <w:tcW w:w="239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东莞银行中山分行</w:t>
            </w:r>
          </w:p>
        </w:tc>
        <w:tc>
          <w:tcPr>
            <w:tcW w:w="260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业务管理部</w:t>
            </w:r>
          </w:p>
        </w:tc>
        <w:tc>
          <w:tcPr>
            <w:tcW w:w="108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张楠</w:t>
            </w:r>
          </w:p>
        </w:tc>
        <w:tc>
          <w:tcPr>
            <w:tcW w:w="2598" w:type="dxa"/>
            <w:vAlign w:val="center"/>
          </w:tcPr>
          <w:p>
            <w:pPr>
              <w:widowControl w:val="0"/>
              <w:jc w:val="center"/>
              <w:rPr>
                <w:rFonts w:ascii="宋体"/>
                <w:color w:val="auto"/>
                <w:kern w:val="2"/>
                <w:szCs w:val="21"/>
                <w:highlight w:val="none"/>
                <w:shd w:val="clear" w:color="auto" w:fill="FFFFFF"/>
              </w:rPr>
            </w:pPr>
            <w:r>
              <w:rPr>
                <w:rFonts w:ascii="宋体" w:hAnsi="宋体"/>
                <w:color w:val="auto"/>
                <w:kern w:val="2"/>
                <w:szCs w:val="21"/>
                <w:highlight w:val="none"/>
              </w:rPr>
              <w:t>0760-86939859</w:t>
            </w:r>
            <w:r>
              <w:rPr>
                <w:rFonts w:hint="eastAsia" w:ascii="宋体" w:hAnsi="宋体"/>
                <w:color w:val="auto"/>
                <w:kern w:val="2"/>
                <w:szCs w:val="21"/>
                <w:highlight w:val="none"/>
              </w:rPr>
              <w:t>、</w:t>
            </w:r>
            <w:r>
              <w:rPr>
                <w:rFonts w:ascii="宋体" w:hAnsi="宋体"/>
                <w:color w:val="auto"/>
                <w:kern w:val="2"/>
                <w:szCs w:val="21"/>
                <w:highlight w:val="none"/>
              </w:rPr>
              <w:t>15119122878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restart"/>
            <w:vAlign w:val="center"/>
          </w:tcPr>
          <w:p>
            <w:pPr>
              <w:widowControl w:val="0"/>
              <w:jc w:val="center"/>
              <w:rPr>
                <w:rFonts w:ascii="宋体"/>
                <w:color w:val="auto"/>
                <w:kern w:val="2"/>
                <w:szCs w:val="21"/>
                <w:highlight w:val="none"/>
                <w:shd w:val="clear" w:color="auto" w:fill="FFFFFF"/>
              </w:rPr>
            </w:pPr>
            <w:r>
              <w:rPr>
                <w:rFonts w:ascii="宋体" w:hAnsi="宋体"/>
                <w:color w:val="auto"/>
                <w:kern w:val="2"/>
                <w:szCs w:val="21"/>
                <w:highlight w:val="none"/>
              </w:rPr>
              <w:t>11</w:t>
            </w:r>
          </w:p>
        </w:tc>
        <w:tc>
          <w:tcPr>
            <w:tcW w:w="2390" w:type="dxa"/>
            <w:vMerge w:val="restart"/>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中国邮政储蓄银行中山分行</w:t>
            </w:r>
          </w:p>
        </w:tc>
        <w:tc>
          <w:tcPr>
            <w:tcW w:w="260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沙溪支行公司部</w:t>
            </w:r>
          </w:p>
        </w:tc>
        <w:tc>
          <w:tcPr>
            <w:tcW w:w="108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周立为</w:t>
            </w:r>
          </w:p>
        </w:tc>
        <w:tc>
          <w:tcPr>
            <w:tcW w:w="2598" w:type="dxa"/>
            <w:vAlign w:val="center"/>
          </w:tcPr>
          <w:p>
            <w:pPr>
              <w:widowControl w:val="0"/>
              <w:jc w:val="center"/>
              <w:rPr>
                <w:rFonts w:ascii="宋体"/>
                <w:color w:val="auto"/>
                <w:kern w:val="2"/>
                <w:szCs w:val="21"/>
                <w:highlight w:val="none"/>
                <w:shd w:val="clear" w:color="auto" w:fill="FFFFFF"/>
              </w:rPr>
            </w:pPr>
            <w:r>
              <w:rPr>
                <w:rFonts w:ascii="宋体" w:hAnsi="宋体"/>
                <w:color w:val="auto"/>
                <w:kern w:val="2"/>
                <w:szCs w:val="21"/>
                <w:highlight w:val="none"/>
              </w:rPr>
              <w:t>13925319818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vAlign w:val="center"/>
          </w:tcPr>
          <w:p>
            <w:pPr>
              <w:widowControl w:val="0"/>
              <w:jc w:val="center"/>
              <w:rPr>
                <w:rFonts w:ascii="宋体"/>
                <w:color w:val="auto"/>
                <w:kern w:val="2"/>
                <w:szCs w:val="21"/>
                <w:highlight w:val="none"/>
                <w:shd w:val="clear" w:color="auto" w:fill="FFFFFF"/>
              </w:rPr>
            </w:pPr>
          </w:p>
        </w:tc>
        <w:tc>
          <w:tcPr>
            <w:tcW w:w="2390" w:type="dxa"/>
            <w:vMerge w:val="continue"/>
            <w:vAlign w:val="center"/>
          </w:tcPr>
          <w:p>
            <w:pPr>
              <w:widowControl w:val="0"/>
              <w:jc w:val="center"/>
              <w:rPr>
                <w:rFonts w:ascii="宋体"/>
                <w:color w:val="auto"/>
                <w:kern w:val="2"/>
                <w:szCs w:val="21"/>
                <w:highlight w:val="none"/>
                <w:shd w:val="clear" w:color="auto" w:fill="FFFFFF"/>
              </w:rPr>
            </w:pPr>
          </w:p>
        </w:tc>
        <w:tc>
          <w:tcPr>
            <w:tcW w:w="260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小榄支行公司部</w:t>
            </w:r>
          </w:p>
        </w:tc>
        <w:tc>
          <w:tcPr>
            <w:tcW w:w="1080" w:type="dxa"/>
            <w:vAlign w:val="center"/>
          </w:tcPr>
          <w:p>
            <w:pPr>
              <w:widowControl w:val="0"/>
              <w:jc w:val="center"/>
              <w:rPr>
                <w:rFonts w:ascii="宋体"/>
                <w:color w:val="auto"/>
                <w:kern w:val="2"/>
                <w:szCs w:val="21"/>
                <w:highlight w:val="none"/>
                <w:shd w:val="clear" w:color="auto" w:fill="FFFFFF"/>
              </w:rPr>
            </w:pPr>
            <w:r>
              <w:rPr>
                <w:rFonts w:hint="eastAsia" w:ascii="宋体" w:hAnsi="宋体"/>
                <w:color w:val="auto"/>
                <w:kern w:val="2"/>
                <w:szCs w:val="21"/>
                <w:highlight w:val="none"/>
              </w:rPr>
              <w:t>李国烺</w:t>
            </w:r>
          </w:p>
        </w:tc>
        <w:tc>
          <w:tcPr>
            <w:tcW w:w="2598" w:type="dxa"/>
            <w:vAlign w:val="center"/>
          </w:tcPr>
          <w:p>
            <w:pPr>
              <w:widowControl w:val="0"/>
              <w:jc w:val="center"/>
              <w:rPr>
                <w:rFonts w:ascii="宋体"/>
                <w:color w:val="auto"/>
                <w:kern w:val="2"/>
                <w:szCs w:val="21"/>
                <w:highlight w:val="none"/>
                <w:shd w:val="clear" w:color="auto" w:fill="FFFFFF"/>
              </w:rPr>
            </w:pPr>
            <w:r>
              <w:rPr>
                <w:rFonts w:ascii="宋体" w:hAnsi="宋体"/>
                <w:color w:val="auto"/>
                <w:kern w:val="2"/>
                <w:szCs w:val="21"/>
                <w:highlight w:val="none"/>
              </w:rPr>
              <w:t>13420495864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vAlign w:val="center"/>
          </w:tcPr>
          <w:p>
            <w:pPr>
              <w:widowControl w:val="0"/>
              <w:jc w:val="center"/>
              <w:rPr>
                <w:rFonts w:ascii="宋体"/>
                <w:color w:val="auto"/>
                <w:kern w:val="2"/>
                <w:szCs w:val="21"/>
                <w:highlight w:val="none"/>
                <w:shd w:val="clear" w:color="auto" w:fill="FFFFFF"/>
              </w:rPr>
            </w:pPr>
          </w:p>
        </w:tc>
        <w:tc>
          <w:tcPr>
            <w:tcW w:w="2390" w:type="dxa"/>
            <w:vMerge w:val="continue"/>
            <w:vAlign w:val="center"/>
          </w:tcPr>
          <w:p>
            <w:pPr>
              <w:widowControl w:val="0"/>
              <w:jc w:val="center"/>
              <w:rPr>
                <w:rFonts w:ascii="宋体"/>
                <w:color w:val="auto"/>
                <w:kern w:val="2"/>
                <w:szCs w:val="21"/>
                <w:highlight w:val="none"/>
                <w:shd w:val="clear" w:color="auto" w:fill="FFFFFF"/>
              </w:rPr>
            </w:pPr>
          </w:p>
        </w:tc>
        <w:tc>
          <w:tcPr>
            <w:tcW w:w="2600" w:type="dxa"/>
            <w:vAlign w:val="center"/>
          </w:tcPr>
          <w:p>
            <w:pPr>
              <w:widowControl w:val="0"/>
              <w:jc w:val="center"/>
              <w:rPr>
                <w:rFonts w:ascii="宋体"/>
                <w:color w:val="auto"/>
                <w:kern w:val="2"/>
                <w:szCs w:val="21"/>
                <w:highlight w:val="none"/>
              </w:rPr>
            </w:pPr>
            <w:r>
              <w:rPr>
                <w:rFonts w:hint="eastAsia" w:ascii="宋体" w:hAnsi="宋体"/>
                <w:color w:val="auto"/>
                <w:kern w:val="2"/>
                <w:szCs w:val="21"/>
                <w:highlight w:val="none"/>
              </w:rPr>
              <w:t>营业部支行公司部</w:t>
            </w:r>
          </w:p>
        </w:tc>
        <w:tc>
          <w:tcPr>
            <w:tcW w:w="1080" w:type="dxa"/>
            <w:vAlign w:val="center"/>
          </w:tcPr>
          <w:p>
            <w:pPr>
              <w:widowControl w:val="0"/>
              <w:jc w:val="center"/>
              <w:rPr>
                <w:rFonts w:ascii="宋体"/>
                <w:color w:val="auto"/>
                <w:kern w:val="2"/>
                <w:szCs w:val="21"/>
                <w:highlight w:val="none"/>
              </w:rPr>
            </w:pPr>
            <w:r>
              <w:rPr>
                <w:rFonts w:hint="eastAsia" w:ascii="宋体" w:hAnsi="宋体"/>
                <w:color w:val="auto"/>
                <w:kern w:val="2"/>
                <w:szCs w:val="21"/>
                <w:highlight w:val="none"/>
              </w:rPr>
              <w:t>华小英</w:t>
            </w:r>
          </w:p>
        </w:tc>
        <w:tc>
          <w:tcPr>
            <w:tcW w:w="2598" w:type="dxa"/>
            <w:vAlign w:val="center"/>
          </w:tcPr>
          <w:p>
            <w:pPr>
              <w:widowControl w:val="0"/>
              <w:jc w:val="center"/>
              <w:rPr>
                <w:rFonts w:ascii="宋体"/>
                <w:color w:val="auto"/>
                <w:kern w:val="2"/>
                <w:szCs w:val="21"/>
                <w:highlight w:val="none"/>
              </w:rPr>
            </w:pPr>
            <w:r>
              <w:rPr>
                <w:rFonts w:ascii="宋体" w:hAnsi="宋体"/>
                <w:color w:val="auto"/>
                <w:kern w:val="2"/>
                <w:szCs w:val="21"/>
                <w:highlight w:val="none"/>
              </w:rPr>
              <w:t>18807601933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vAlign w:val="center"/>
          </w:tcPr>
          <w:p>
            <w:pPr>
              <w:widowControl w:val="0"/>
              <w:jc w:val="center"/>
              <w:rPr>
                <w:rFonts w:ascii="宋体"/>
                <w:color w:val="auto"/>
                <w:kern w:val="2"/>
                <w:szCs w:val="21"/>
                <w:highlight w:val="none"/>
                <w:shd w:val="clear" w:color="auto" w:fill="FFFFFF"/>
              </w:rPr>
            </w:pPr>
          </w:p>
        </w:tc>
        <w:tc>
          <w:tcPr>
            <w:tcW w:w="2390" w:type="dxa"/>
            <w:vMerge w:val="continue"/>
            <w:vAlign w:val="center"/>
          </w:tcPr>
          <w:p>
            <w:pPr>
              <w:widowControl w:val="0"/>
              <w:jc w:val="center"/>
              <w:rPr>
                <w:rFonts w:ascii="宋体"/>
                <w:color w:val="auto"/>
                <w:kern w:val="2"/>
                <w:szCs w:val="21"/>
                <w:highlight w:val="none"/>
                <w:shd w:val="clear" w:color="auto" w:fill="FFFFFF"/>
              </w:rPr>
            </w:pPr>
          </w:p>
        </w:tc>
        <w:tc>
          <w:tcPr>
            <w:tcW w:w="2600" w:type="dxa"/>
            <w:vAlign w:val="center"/>
          </w:tcPr>
          <w:p>
            <w:pPr>
              <w:widowControl w:val="0"/>
              <w:jc w:val="center"/>
              <w:rPr>
                <w:rFonts w:ascii="宋体"/>
                <w:color w:val="auto"/>
                <w:kern w:val="2"/>
                <w:szCs w:val="21"/>
                <w:highlight w:val="none"/>
              </w:rPr>
            </w:pPr>
            <w:r>
              <w:rPr>
                <w:rFonts w:hint="eastAsia" w:ascii="宋体" w:hAnsi="宋体"/>
                <w:color w:val="auto"/>
                <w:kern w:val="2"/>
                <w:szCs w:val="21"/>
                <w:highlight w:val="none"/>
              </w:rPr>
              <w:t>科技支行公司部</w:t>
            </w:r>
          </w:p>
        </w:tc>
        <w:tc>
          <w:tcPr>
            <w:tcW w:w="1080" w:type="dxa"/>
            <w:vAlign w:val="center"/>
          </w:tcPr>
          <w:p>
            <w:pPr>
              <w:widowControl w:val="0"/>
              <w:jc w:val="center"/>
              <w:rPr>
                <w:rFonts w:ascii="宋体"/>
                <w:color w:val="auto"/>
                <w:kern w:val="2"/>
                <w:szCs w:val="21"/>
                <w:highlight w:val="none"/>
              </w:rPr>
            </w:pPr>
            <w:r>
              <w:rPr>
                <w:rFonts w:hint="eastAsia" w:ascii="宋体" w:hAnsi="宋体"/>
                <w:color w:val="auto"/>
                <w:kern w:val="2"/>
                <w:szCs w:val="21"/>
                <w:highlight w:val="none"/>
              </w:rPr>
              <w:t>赵春良</w:t>
            </w:r>
          </w:p>
        </w:tc>
        <w:tc>
          <w:tcPr>
            <w:tcW w:w="2598" w:type="dxa"/>
            <w:vAlign w:val="center"/>
          </w:tcPr>
          <w:p>
            <w:pPr>
              <w:widowControl w:val="0"/>
              <w:jc w:val="center"/>
              <w:rPr>
                <w:rFonts w:ascii="宋体"/>
                <w:color w:val="auto"/>
                <w:kern w:val="2"/>
                <w:szCs w:val="21"/>
                <w:highlight w:val="none"/>
              </w:rPr>
            </w:pPr>
            <w:r>
              <w:rPr>
                <w:rFonts w:ascii="宋体" w:hAnsi="宋体"/>
                <w:color w:val="auto"/>
                <w:kern w:val="2"/>
                <w:szCs w:val="21"/>
                <w:highlight w:val="none"/>
              </w:rPr>
              <w:t>13424532121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vAlign w:val="center"/>
          </w:tcPr>
          <w:p>
            <w:pPr>
              <w:widowControl w:val="0"/>
              <w:jc w:val="center"/>
              <w:rPr>
                <w:rFonts w:ascii="宋体"/>
                <w:color w:val="auto"/>
                <w:kern w:val="2"/>
                <w:szCs w:val="21"/>
                <w:highlight w:val="none"/>
                <w:shd w:val="clear" w:color="auto" w:fill="FFFFFF"/>
              </w:rPr>
            </w:pPr>
          </w:p>
        </w:tc>
        <w:tc>
          <w:tcPr>
            <w:tcW w:w="2390" w:type="dxa"/>
            <w:vMerge w:val="continue"/>
            <w:vAlign w:val="center"/>
          </w:tcPr>
          <w:p>
            <w:pPr>
              <w:widowControl w:val="0"/>
              <w:jc w:val="center"/>
              <w:rPr>
                <w:rFonts w:ascii="宋体"/>
                <w:color w:val="auto"/>
                <w:kern w:val="2"/>
                <w:szCs w:val="21"/>
                <w:highlight w:val="none"/>
                <w:shd w:val="clear" w:color="auto" w:fill="FFFFFF"/>
              </w:rPr>
            </w:pPr>
          </w:p>
        </w:tc>
        <w:tc>
          <w:tcPr>
            <w:tcW w:w="2600" w:type="dxa"/>
            <w:vAlign w:val="center"/>
          </w:tcPr>
          <w:p>
            <w:pPr>
              <w:widowControl w:val="0"/>
              <w:jc w:val="center"/>
              <w:rPr>
                <w:rFonts w:ascii="宋体"/>
                <w:color w:val="auto"/>
                <w:kern w:val="2"/>
                <w:szCs w:val="21"/>
                <w:highlight w:val="none"/>
              </w:rPr>
            </w:pPr>
            <w:r>
              <w:rPr>
                <w:rFonts w:hint="eastAsia" w:ascii="宋体" w:hAnsi="宋体"/>
                <w:color w:val="auto"/>
                <w:kern w:val="2"/>
                <w:szCs w:val="21"/>
                <w:highlight w:val="none"/>
              </w:rPr>
              <w:t>三乡支行公司部</w:t>
            </w:r>
          </w:p>
        </w:tc>
        <w:tc>
          <w:tcPr>
            <w:tcW w:w="1080" w:type="dxa"/>
            <w:vAlign w:val="center"/>
          </w:tcPr>
          <w:p>
            <w:pPr>
              <w:widowControl w:val="0"/>
              <w:jc w:val="center"/>
              <w:rPr>
                <w:rFonts w:ascii="宋体"/>
                <w:color w:val="auto"/>
                <w:kern w:val="2"/>
                <w:szCs w:val="21"/>
                <w:highlight w:val="none"/>
              </w:rPr>
            </w:pPr>
            <w:r>
              <w:rPr>
                <w:rFonts w:hint="eastAsia" w:ascii="宋体" w:hAnsi="宋体"/>
                <w:color w:val="auto"/>
                <w:kern w:val="2"/>
                <w:szCs w:val="21"/>
                <w:highlight w:val="none"/>
              </w:rPr>
              <w:t>郑晨晖</w:t>
            </w:r>
          </w:p>
        </w:tc>
        <w:tc>
          <w:tcPr>
            <w:tcW w:w="2598" w:type="dxa"/>
            <w:vAlign w:val="center"/>
          </w:tcPr>
          <w:p>
            <w:pPr>
              <w:widowControl w:val="0"/>
              <w:jc w:val="center"/>
              <w:rPr>
                <w:rFonts w:ascii="宋体"/>
                <w:color w:val="auto"/>
                <w:kern w:val="2"/>
                <w:szCs w:val="21"/>
                <w:highlight w:val="none"/>
              </w:rPr>
            </w:pPr>
            <w:r>
              <w:rPr>
                <w:rFonts w:ascii="宋体" w:hAnsi="宋体"/>
                <w:color w:val="auto"/>
                <w:kern w:val="2"/>
                <w:szCs w:val="21"/>
                <w:highlight w:val="none"/>
              </w:rPr>
              <w:t>13925359322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jc w:val="center"/>
              <w:rPr>
                <w:rFonts w:ascii="宋体"/>
                <w:color w:val="auto"/>
                <w:kern w:val="2"/>
                <w:szCs w:val="21"/>
                <w:highlight w:val="none"/>
                <w:shd w:val="clear" w:color="auto" w:fill="FFFFFF"/>
              </w:rPr>
            </w:pPr>
            <w:r>
              <w:rPr>
                <w:rStyle w:val="58"/>
                <w:rFonts w:ascii="宋体" w:hAnsi="宋体"/>
                <w:b w:val="0"/>
                <w:bCs w:val="0"/>
                <w:color w:val="auto"/>
                <w:szCs w:val="21"/>
                <w:highlight w:val="none"/>
                <w:shd w:val="clear" w:color="auto" w:fill="FFFFFF"/>
              </w:rPr>
              <w:t>12</w:t>
            </w:r>
          </w:p>
        </w:tc>
        <w:tc>
          <w:tcPr>
            <w:tcW w:w="2390" w:type="dxa"/>
            <w:vAlign w:val="bottom"/>
          </w:tcPr>
          <w:p>
            <w:pPr>
              <w:spacing w:line="240" w:lineRule="exact"/>
              <w:jc w:val="center"/>
              <w:rPr>
                <w:rFonts w:ascii="宋体"/>
                <w:color w:val="auto"/>
                <w:kern w:val="2"/>
                <w:szCs w:val="21"/>
                <w:highlight w:val="none"/>
                <w:shd w:val="clear" w:color="auto" w:fill="FFFFFF"/>
              </w:rPr>
            </w:pPr>
            <w:r>
              <w:rPr>
                <w:rStyle w:val="58"/>
                <w:rFonts w:hint="eastAsia" w:ascii="宋体" w:hAnsi="宋体"/>
                <w:b w:val="0"/>
                <w:bCs w:val="0"/>
                <w:color w:val="auto"/>
                <w:szCs w:val="21"/>
                <w:highlight w:val="none"/>
                <w:shd w:val="clear" w:color="auto" w:fill="FFFFFF"/>
              </w:rPr>
              <w:t>交通银行中山分行</w:t>
            </w:r>
          </w:p>
        </w:tc>
        <w:tc>
          <w:tcPr>
            <w:tcW w:w="2600" w:type="dxa"/>
            <w:vAlign w:val="bottom"/>
          </w:tcPr>
          <w:p>
            <w:pPr>
              <w:spacing w:line="240" w:lineRule="exact"/>
              <w:jc w:val="center"/>
              <w:rPr>
                <w:rFonts w:ascii="宋体"/>
                <w:color w:val="auto"/>
                <w:kern w:val="2"/>
                <w:szCs w:val="21"/>
                <w:highlight w:val="none"/>
              </w:rPr>
            </w:pPr>
            <w:r>
              <w:rPr>
                <w:rStyle w:val="58"/>
                <w:rFonts w:hint="eastAsia" w:ascii="宋体" w:hAnsi="宋体"/>
                <w:b w:val="0"/>
                <w:bCs w:val="0"/>
                <w:color w:val="auto"/>
                <w:szCs w:val="21"/>
                <w:highlight w:val="none"/>
                <w:shd w:val="clear" w:color="auto" w:fill="FFFFFF"/>
              </w:rPr>
              <w:t>普惠金融部</w:t>
            </w:r>
          </w:p>
        </w:tc>
        <w:tc>
          <w:tcPr>
            <w:tcW w:w="1080" w:type="dxa"/>
            <w:vAlign w:val="bottom"/>
          </w:tcPr>
          <w:p>
            <w:pPr>
              <w:spacing w:line="240" w:lineRule="exact"/>
              <w:jc w:val="center"/>
              <w:rPr>
                <w:rFonts w:ascii="宋体"/>
                <w:color w:val="auto"/>
                <w:kern w:val="2"/>
                <w:szCs w:val="21"/>
                <w:highlight w:val="none"/>
              </w:rPr>
            </w:pPr>
            <w:r>
              <w:rPr>
                <w:rStyle w:val="58"/>
                <w:rFonts w:hint="eastAsia" w:ascii="宋体" w:hAnsi="宋体"/>
                <w:b w:val="0"/>
                <w:bCs w:val="0"/>
                <w:color w:val="auto"/>
                <w:szCs w:val="21"/>
                <w:highlight w:val="none"/>
                <w:shd w:val="clear" w:color="auto" w:fill="FFFFFF"/>
              </w:rPr>
              <w:t>王秋</w:t>
            </w:r>
          </w:p>
        </w:tc>
        <w:tc>
          <w:tcPr>
            <w:tcW w:w="2598" w:type="dxa"/>
            <w:vAlign w:val="bottom"/>
          </w:tcPr>
          <w:p>
            <w:pPr>
              <w:spacing w:line="240" w:lineRule="exact"/>
              <w:jc w:val="center"/>
              <w:rPr>
                <w:rStyle w:val="58"/>
                <w:rFonts w:ascii="宋体"/>
                <w:b w:val="0"/>
                <w:bCs w:val="0"/>
                <w:color w:val="auto"/>
                <w:szCs w:val="21"/>
                <w:highlight w:val="none"/>
                <w:shd w:val="clear" w:color="auto" w:fill="FFFFFF"/>
              </w:rPr>
            </w:pPr>
            <w:r>
              <w:rPr>
                <w:rStyle w:val="58"/>
                <w:rFonts w:ascii="宋体" w:hAnsi="宋体"/>
                <w:b w:val="0"/>
                <w:bCs w:val="0"/>
                <w:color w:val="auto"/>
                <w:szCs w:val="21"/>
                <w:highlight w:val="none"/>
                <w:shd w:val="clear" w:color="auto" w:fill="FFFFFF"/>
              </w:rPr>
              <w:t>1511914536</w:t>
            </w:r>
          </w:p>
          <w:p>
            <w:pPr>
              <w:spacing w:line="240" w:lineRule="exact"/>
              <w:jc w:val="center"/>
              <w:rPr>
                <w:rFonts w:ascii="宋体"/>
                <w:color w:val="auto"/>
                <w:kern w:val="2"/>
                <w:szCs w:val="21"/>
                <w:highlight w:val="none"/>
              </w:rPr>
            </w:pPr>
            <w:r>
              <w:rPr>
                <w:rStyle w:val="58"/>
                <w:rFonts w:ascii="宋体" w:hAnsi="宋体"/>
                <w:b w:val="0"/>
                <w:bCs w:val="0"/>
                <w:color w:val="auto"/>
                <w:szCs w:val="21"/>
                <w:highlight w:val="none"/>
                <w:shd w:val="clear" w:color="auto" w:fill="FFFFFF"/>
              </w:rPr>
              <w:t>88806650</w:t>
            </w:r>
          </w:p>
        </w:tc>
      </w:tr>
    </w:tbl>
    <w:p>
      <w:pPr>
        <w:spacing w:line="460" w:lineRule="exact"/>
        <w:ind w:left="142"/>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中小微企业有融资需求的，可通过应收账款融资服务平台（网址：</w:t>
      </w:r>
      <w:r>
        <w:rPr>
          <w:rFonts w:ascii="宋体" w:hAnsi="宋体" w:cs="宋体"/>
          <w:color w:val="auto"/>
          <w:szCs w:val="21"/>
          <w:highlight w:val="none"/>
        </w:rPr>
        <w:t>www.crcrfsp.com</w:t>
      </w:r>
      <w:r>
        <w:rPr>
          <w:rFonts w:hint="eastAsia" w:ascii="宋体" w:hAnsi="宋体" w:cs="宋体"/>
          <w:color w:val="auto"/>
          <w:szCs w:val="21"/>
          <w:highlight w:val="none"/>
        </w:rPr>
        <w:t>）和中山市社会征信和金融服务一体化系统（网址：</w:t>
      </w:r>
      <w:r>
        <w:rPr>
          <w:rFonts w:ascii="宋体" w:hAnsi="宋体" w:cs="宋体"/>
          <w:color w:val="auto"/>
          <w:szCs w:val="21"/>
          <w:highlight w:val="none"/>
        </w:rPr>
        <w:t>www.zsythxt.zs.gov.cn</w:t>
      </w:r>
      <w:r>
        <w:rPr>
          <w:rFonts w:hint="eastAsia" w:ascii="宋体" w:hAnsi="宋体" w:cs="宋体"/>
          <w:color w:val="auto"/>
          <w:szCs w:val="21"/>
          <w:highlight w:val="none"/>
        </w:rPr>
        <w:t>）向辖内特定或非特定银行机构咨询并提出融资申请。</w:t>
      </w:r>
    </w:p>
    <w:p>
      <w:pPr>
        <w:spacing w:line="460" w:lineRule="exact"/>
        <w:ind w:left="142"/>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w:t>
      </w:r>
      <w:r>
        <w:rPr>
          <w:rFonts w:hint="eastAsia" w:ascii="宋体" w:hAnsi="宋体" w:cs="宋体"/>
          <w:color w:val="auto"/>
          <w:szCs w:val="21"/>
          <w:highlight w:val="none"/>
        </w:rPr>
        <w:t>采购人应当及时在应收账款融资服务平台（网址：</w:t>
      </w:r>
      <w:r>
        <w:rPr>
          <w:rFonts w:ascii="宋体" w:hAnsi="宋体" w:cs="宋体"/>
          <w:color w:val="auto"/>
          <w:szCs w:val="21"/>
          <w:highlight w:val="none"/>
        </w:rPr>
        <w:t>www.crcrfsp.com</w:t>
      </w:r>
      <w:r>
        <w:rPr>
          <w:rFonts w:hint="eastAsia" w:ascii="宋体" w:hAnsi="宋体" w:cs="宋体"/>
          <w:color w:val="auto"/>
          <w:szCs w:val="21"/>
          <w:highlight w:val="none"/>
        </w:rPr>
        <w:t>）确认债权债务关系，支持中小微企业融资。</w:t>
      </w:r>
    </w:p>
    <w:p>
      <w:pPr>
        <w:spacing w:line="460" w:lineRule="exact"/>
        <w:ind w:left="142"/>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中小微企业与银行机构签订政府采购质押融资合同的，由采购人牵头与中小微企业和银行机构三方签署《政府采购合同项下政府采购资金唯一回款账户确认函》，确保合同款支付到中小微企业在融资银行机构开立的回款账号。</w:t>
      </w:r>
    </w:p>
    <w:p>
      <w:pPr>
        <w:spacing w:line="460" w:lineRule="exact"/>
        <w:ind w:left="142"/>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财政部门根据《政府采购法》等相关法规、规章规定，对参加政府采购活动的供应商的不良行为予以记录，并纳入中山市社会征信和金融服务一体化系统，供银行机构融资授信时审慎性参考。</w:t>
      </w:r>
    </w:p>
    <w:p>
      <w:pPr>
        <w:tabs>
          <w:tab w:val="left" w:pos="851"/>
        </w:tabs>
        <w:snapToGrid w:val="0"/>
        <w:spacing w:line="360" w:lineRule="auto"/>
        <w:ind w:left="316" w:hanging="316" w:hangingChars="150"/>
        <w:jc w:val="both"/>
        <w:rPr>
          <w:rFonts w:ascii="宋体"/>
          <w:b/>
          <w:bCs/>
          <w:color w:val="auto"/>
          <w:highlight w:val="none"/>
        </w:rPr>
      </w:pPr>
      <w:r>
        <w:rPr>
          <w:rFonts w:hint="eastAsia" w:ascii="宋体" w:hAnsi="宋体" w:cs="宋体"/>
          <w:b/>
          <w:color w:val="auto"/>
          <w:szCs w:val="21"/>
          <w:highlight w:val="none"/>
        </w:rPr>
        <w:t>3</w:t>
      </w:r>
      <w:r>
        <w:rPr>
          <w:rFonts w:ascii="宋体" w:hAnsi="宋体" w:cs="宋体"/>
          <w:b/>
          <w:color w:val="auto"/>
          <w:szCs w:val="21"/>
          <w:highlight w:val="none"/>
        </w:rPr>
        <w:t>.</w:t>
      </w:r>
      <w:r>
        <w:rPr>
          <w:rFonts w:hint="eastAsia" w:ascii="宋体" w:hAnsi="宋体"/>
          <w:b/>
          <w:bCs/>
          <w:color w:val="auto"/>
          <w:highlight w:val="none"/>
        </w:rPr>
        <w:t>投标人有下列情形之一的，视为串通投标，其投标无效：</w:t>
      </w:r>
    </w:p>
    <w:p>
      <w:pPr>
        <w:widowControl w:val="0"/>
        <w:adjustRightInd w:val="0"/>
        <w:snapToGrid w:val="0"/>
        <w:spacing w:line="360" w:lineRule="auto"/>
        <w:jc w:val="both"/>
        <w:rPr>
          <w:rFonts w:ascii="宋体"/>
          <w:bCs/>
          <w:color w:val="auto"/>
          <w:highlight w:val="none"/>
        </w:rPr>
      </w:pPr>
      <w:r>
        <w:rPr>
          <w:rFonts w:hint="eastAsia" w:ascii="宋体" w:hAnsi="宋体"/>
          <w:bCs/>
          <w:color w:val="auto"/>
          <w:highlight w:val="none"/>
        </w:rPr>
        <w:t>　（</w:t>
      </w:r>
      <w:r>
        <w:rPr>
          <w:rFonts w:ascii="宋体" w:hAnsi="宋体"/>
          <w:bCs/>
          <w:color w:val="auto"/>
          <w:highlight w:val="none"/>
        </w:rPr>
        <w:t>1</w:t>
      </w:r>
      <w:r>
        <w:rPr>
          <w:rFonts w:hint="eastAsia" w:ascii="宋体" w:hAnsi="宋体"/>
          <w:bCs/>
          <w:color w:val="auto"/>
          <w:highlight w:val="none"/>
        </w:rPr>
        <w:t>）不同投标人的投标文件由同一单位或者个人编制；</w:t>
      </w:r>
    </w:p>
    <w:p>
      <w:pPr>
        <w:widowControl w:val="0"/>
        <w:adjustRightInd w:val="0"/>
        <w:snapToGrid w:val="0"/>
        <w:spacing w:line="360" w:lineRule="auto"/>
        <w:jc w:val="both"/>
        <w:rPr>
          <w:rFonts w:ascii="宋体"/>
          <w:bCs/>
          <w:color w:val="auto"/>
          <w:highlight w:val="none"/>
        </w:rPr>
      </w:pPr>
      <w:r>
        <w:rPr>
          <w:rFonts w:hint="eastAsia" w:ascii="宋体" w:hAnsi="宋体"/>
          <w:bCs/>
          <w:color w:val="auto"/>
          <w:highlight w:val="none"/>
        </w:rPr>
        <w:t>　　（</w:t>
      </w:r>
      <w:r>
        <w:rPr>
          <w:rFonts w:ascii="宋体" w:hAnsi="宋体"/>
          <w:bCs/>
          <w:color w:val="auto"/>
          <w:highlight w:val="none"/>
        </w:rPr>
        <w:t>2</w:t>
      </w:r>
      <w:r>
        <w:rPr>
          <w:rFonts w:hint="eastAsia" w:ascii="宋体" w:hAnsi="宋体"/>
          <w:bCs/>
          <w:color w:val="auto"/>
          <w:highlight w:val="none"/>
        </w:rPr>
        <w:t>）不同投标人委托同一单位或者个人办理投标事宜；</w:t>
      </w:r>
    </w:p>
    <w:p>
      <w:pPr>
        <w:widowControl w:val="0"/>
        <w:adjustRightInd w:val="0"/>
        <w:snapToGrid w:val="0"/>
        <w:spacing w:line="360" w:lineRule="auto"/>
        <w:jc w:val="both"/>
        <w:rPr>
          <w:rFonts w:ascii="宋体"/>
          <w:bCs/>
          <w:color w:val="auto"/>
          <w:highlight w:val="none"/>
        </w:rPr>
      </w:pPr>
      <w:r>
        <w:rPr>
          <w:rFonts w:hint="eastAsia" w:ascii="宋体" w:hAnsi="宋体"/>
          <w:bCs/>
          <w:color w:val="auto"/>
          <w:highlight w:val="none"/>
        </w:rPr>
        <w:t>　　（</w:t>
      </w:r>
      <w:r>
        <w:rPr>
          <w:rFonts w:ascii="宋体" w:hAnsi="宋体"/>
          <w:bCs/>
          <w:color w:val="auto"/>
          <w:highlight w:val="none"/>
        </w:rPr>
        <w:t>3</w:t>
      </w:r>
      <w:r>
        <w:rPr>
          <w:rFonts w:hint="eastAsia" w:ascii="宋体" w:hAnsi="宋体"/>
          <w:bCs/>
          <w:color w:val="auto"/>
          <w:highlight w:val="none"/>
        </w:rPr>
        <w:t>）不同投标人的投标文件载明的项目管理成员或者联系人员为同一人；</w:t>
      </w:r>
    </w:p>
    <w:p>
      <w:pPr>
        <w:widowControl w:val="0"/>
        <w:adjustRightInd w:val="0"/>
        <w:snapToGrid w:val="0"/>
        <w:spacing w:line="360" w:lineRule="auto"/>
        <w:jc w:val="both"/>
        <w:rPr>
          <w:rFonts w:ascii="宋体"/>
          <w:bCs/>
          <w:color w:val="auto"/>
          <w:highlight w:val="none"/>
        </w:rPr>
      </w:pPr>
      <w:r>
        <w:rPr>
          <w:rFonts w:hint="eastAsia" w:ascii="宋体" w:hAnsi="宋体"/>
          <w:bCs/>
          <w:color w:val="auto"/>
          <w:highlight w:val="none"/>
        </w:rPr>
        <w:t>　　（</w:t>
      </w:r>
      <w:r>
        <w:rPr>
          <w:rFonts w:ascii="宋体" w:hAnsi="宋体"/>
          <w:bCs/>
          <w:color w:val="auto"/>
          <w:highlight w:val="none"/>
        </w:rPr>
        <w:t>4</w:t>
      </w:r>
      <w:r>
        <w:rPr>
          <w:rFonts w:hint="eastAsia" w:ascii="宋体" w:hAnsi="宋体"/>
          <w:bCs/>
          <w:color w:val="auto"/>
          <w:highlight w:val="none"/>
        </w:rPr>
        <w:t>）不同投标人的投标文件异常一致或者投标报价呈规律性差异；</w:t>
      </w:r>
    </w:p>
    <w:p>
      <w:pPr>
        <w:widowControl w:val="0"/>
        <w:adjustRightInd w:val="0"/>
        <w:snapToGrid w:val="0"/>
        <w:spacing w:line="360" w:lineRule="auto"/>
        <w:jc w:val="both"/>
        <w:rPr>
          <w:rFonts w:ascii="宋体"/>
          <w:bCs/>
          <w:color w:val="auto"/>
          <w:highlight w:val="none"/>
        </w:rPr>
      </w:pPr>
      <w:r>
        <w:rPr>
          <w:rFonts w:hint="eastAsia" w:ascii="宋体" w:hAnsi="宋体"/>
          <w:bCs/>
          <w:color w:val="auto"/>
          <w:highlight w:val="none"/>
        </w:rPr>
        <w:t>　　（</w:t>
      </w:r>
      <w:r>
        <w:rPr>
          <w:rFonts w:ascii="宋体" w:hAnsi="宋体"/>
          <w:bCs/>
          <w:color w:val="auto"/>
          <w:highlight w:val="none"/>
        </w:rPr>
        <w:t>5</w:t>
      </w:r>
      <w:r>
        <w:rPr>
          <w:rFonts w:hint="eastAsia" w:ascii="宋体" w:hAnsi="宋体"/>
          <w:bCs/>
          <w:color w:val="auto"/>
          <w:highlight w:val="none"/>
        </w:rPr>
        <w:t>）不同投标人的投标文件相互混装；</w:t>
      </w:r>
    </w:p>
    <w:p>
      <w:pPr>
        <w:widowControl w:val="0"/>
        <w:adjustRightInd w:val="0"/>
        <w:snapToGrid w:val="0"/>
        <w:spacing w:line="360" w:lineRule="auto"/>
        <w:ind w:firstLine="420" w:firstLineChars="200"/>
        <w:jc w:val="both"/>
        <w:rPr>
          <w:rFonts w:ascii="宋体" w:cs="宋体"/>
          <w:b/>
          <w:color w:val="auto"/>
          <w:kern w:val="2"/>
          <w:szCs w:val="21"/>
          <w:highlight w:val="none"/>
        </w:rPr>
      </w:pPr>
      <w:r>
        <w:rPr>
          <w:rFonts w:hint="eastAsia" w:ascii="宋体" w:hAnsi="宋体"/>
          <w:bCs/>
          <w:color w:val="auto"/>
          <w:highlight w:val="none"/>
        </w:rPr>
        <w:t>（</w:t>
      </w:r>
      <w:r>
        <w:rPr>
          <w:rFonts w:ascii="宋体" w:hAnsi="宋体"/>
          <w:bCs/>
          <w:color w:val="auto"/>
          <w:highlight w:val="none"/>
        </w:rPr>
        <w:t>6</w:t>
      </w:r>
      <w:r>
        <w:rPr>
          <w:rFonts w:hint="eastAsia" w:ascii="宋体" w:hAnsi="宋体"/>
          <w:bCs/>
          <w:color w:val="auto"/>
          <w:highlight w:val="none"/>
        </w:rPr>
        <w:t>）不同投标人的投标保证金从同一单位或者个人的账户转出。</w:t>
      </w:r>
    </w:p>
    <w:p>
      <w:pPr>
        <w:widowControl w:val="0"/>
        <w:adjustRightInd w:val="0"/>
        <w:snapToGrid w:val="0"/>
        <w:spacing w:line="360" w:lineRule="auto"/>
        <w:jc w:val="both"/>
        <w:rPr>
          <w:rFonts w:ascii="宋体" w:cs="宋体"/>
          <w:b/>
          <w:color w:val="auto"/>
          <w:kern w:val="2"/>
          <w:szCs w:val="21"/>
          <w:highlight w:val="none"/>
        </w:rPr>
      </w:pPr>
      <w:r>
        <w:rPr>
          <w:rFonts w:hint="eastAsia" w:ascii="宋体" w:hAnsi="宋体" w:cs="宋体"/>
          <w:b/>
          <w:color w:val="auto"/>
          <w:kern w:val="2"/>
          <w:szCs w:val="21"/>
          <w:highlight w:val="none"/>
        </w:rPr>
        <w:t>九、知识产权</w:t>
      </w:r>
    </w:p>
    <w:p>
      <w:pPr>
        <w:tabs>
          <w:tab w:val="left" w:pos="851"/>
        </w:tabs>
        <w:snapToGrid w:val="0"/>
        <w:spacing w:line="360" w:lineRule="auto"/>
        <w:ind w:left="315" w:hanging="315" w:hangingChars="150"/>
        <w:jc w:val="both"/>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投标人应保证，采购人在中华人民共和国接受投标人提供的服务的任何一部分时，采购人免受第三方提出侵犯其专利权、商标权、著作权或其他合法权利的起诉或法律和经济纠纷。否则，投标人应承担一切责任，并赔偿采购人因此遭受的一切损失（包括但不限于索赔、律师费、诉讼费、采取补救措施的费用等）。</w:t>
      </w:r>
    </w:p>
    <w:p>
      <w:pPr>
        <w:tabs>
          <w:tab w:val="left" w:pos="851"/>
        </w:tabs>
        <w:snapToGrid w:val="0"/>
        <w:spacing w:line="360" w:lineRule="auto"/>
        <w:ind w:left="315" w:hanging="315" w:hangingChars="150"/>
        <w:jc w:val="both"/>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投标报价应包括所有应支付的对专利权、商标权和著作权等而需要向其他方支付的税费。</w:t>
      </w:r>
    </w:p>
    <w:p>
      <w:pPr>
        <w:autoSpaceDE w:val="0"/>
        <w:autoSpaceDN w:val="0"/>
        <w:adjustRightInd w:val="0"/>
        <w:snapToGrid w:val="0"/>
        <w:spacing w:line="360" w:lineRule="auto"/>
        <w:ind w:left="420" w:right="34" w:hanging="420"/>
        <w:contextualSpacing/>
        <w:rPr>
          <w:rFonts w:ascii="宋体" w:cs="宋体"/>
          <w:b/>
          <w:color w:val="auto"/>
          <w:szCs w:val="21"/>
          <w:highlight w:val="none"/>
        </w:rPr>
      </w:pPr>
      <w:r>
        <w:rPr>
          <w:rFonts w:hint="eastAsia" w:ascii="宋体" w:hAnsi="宋体" w:cs="宋体"/>
          <w:b/>
          <w:color w:val="auto"/>
          <w:szCs w:val="21"/>
          <w:highlight w:val="none"/>
        </w:rPr>
        <w:t>十、适用法律</w:t>
      </w:r>
    </w:p>
    <w:p>
      <w:pPr>
        <w:autoSpaceDE w:val="0"/>
        <w:autoSpaceDN w:val="0"/>
        <w:adjustRightInd w:val="0"/>
        <w:snapToGrid w:val="0"/>
        <w:spacing w:line="360" w:lineRule="auto"/>
        <w:ind w:left="351" w:right="34" w:hanging="350" w:hangingChars="167"/>
        <w:contextualSpacing/>
        <w:rPr>
          <w:rFonts w:asci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采购人、政府政府采购代理机构及投标人的一切招标投标活动均适用《中华人民共和国政府采购法》及其配套的法规、规章、政策。工程类项目适用《中华人民共和国招标投标法》及其配套的法规、规章、政策。</w:t>
      </w:r>
    </w:p>
    <w:p>
      <w:pPr>
        <w:autoSpaceDE w:val="0"/>
        <w:autoSpaceDN w:val="0"/>
        <w:adjustRightInd w:val="0"/>
        <w:snapToGrid w:val="0"/>
        <w:spacing w:line="360" w:lineRule="auto"/>
        <w:ind w:left="420" w:right="34" w:hanging="420"/>
        <w:contextualSpacing/>
        <w:rPr>
          <w:rFonts w:ascii="宋体" w:cs="宋体"/>
          <w:b/>
          <w:color w:val="auto"/>
          <w:szCs w:val="21"/>
          <w:highlight w:val="none"/>
        </w:rPr>
      </w:pPr>
      <w:r>
        <w:rPr>
          <w:rFonts w:hint="eastAsia" w:ascii="宋体" w:hAnsi="宋体" w:cs="宋体"/>
          <w:b/>
          <w:color w:val="auto"/>
          <w:szCs w:val="21"/>
          <w:highlight w:val="none"/>
        </w:rPr>
        <w:t>十一、招标文件的解释权</w:t>
      </w:r>
    </w:p>
    <w:p>
      <w:pPr>
        <w:tabs>
          <w:tab w:val="left" w:pos="851"/>
        </w:tabs>
        <w:snapToGrid w:val="0"/>
        <w:spacing w:line="360" w:lineRule="auto"/>
        <w:ind w:firstLine="315" w:firstLineChars="150"/>
        <w:jc w:val="both"/>
        <w:rPr>
          <w:color w:val="auto"/>
          <w:highlight w:val="none"/>
        </w:rPr>
      </w:pPr>
      <w:r>
        <w:rPr>
          <w:rFonts w:hint="eastAsia" w:ascii="宋体" w:hAnsi="宋体" w:cs="宋体"/>
          <w:color w:val="auto"/>
          <w:szCs w:val="21"/>
          <w:highlight w:val="none"/>
        </w:rPr>
        <w:t>本招标文件的解释权归</w:t>
      </w:r>
      <w:r>
        <w:rPr>
          <w:rFonts w:hint="eastAsia" w:ascii="宋体" w:hAnsi="宋体" w:cs="宋体"/>
          <w:color w:val="auto"/>
          <w:szCs w:val="21"/>
          <w:highlight w:val="none"/>
          <w:lang w:eastAsia="zh-CN"/>
        </w:rPr>
        <w:t>中山市建业建筑工程监理有限公司</w:t>
      </w:r>
      <w:r>
        <w:rPr>
          <w:rFonts w:hint="eastAsia" w:ascii="宋体" w:hAnsi="宋体" w:cs="宋体"/>
          <w:color w:val="auto"/>
          <w:szCs w:val="21"/>
          <w:highlight w:val="none"/>
        </w:rPr>
        <w:t>所有。</w:t>
      </w:r>
    </w:p>
    <w:p>
      <w:pPr>
        <w:pStyle w:val="2"/>
        <w:rPr>
          <w:rFonts w:ascii="黑体" w:hAnsi="黑体" w:eastAsia="黑体" w:cs="宋体"/>
          <w:bCs/>
          <w:color w:val="auto"/>
          <w:sz w:val="44"/>
          <w:szCs w:val="44"/>
          <w:highlight w:val="none"/>
          <w:lang w:val="zh-CN"/>
        </w:rPr>
      </w:pPr>
      <w:bookmarkStart w:id="39" w:name="_Toc489282798"/>
    </w:p>
    <w:p>
      <w:pPr>
        <w:pStyle w:val="2"/>
        <w:rPr>
          <w:rFonts w:ascii="黑体" w:hAnsi="黑体" w:eastAsia="黑体" w:cs="宋体"/>
          <w:bCs/>
          <w:color w:val="auto"/>
          <w:sz w:val="44"/>
          <w:szCs w:val="44"/>
          <w:highlight w:val="none"/>
          <w:lang w:val="zh-CN"/>
        </w:rPr>
      </w:pPr>
    </w:p>
    <w:p>
      <w:pPr>
        <w:pStyle w:val="2"/>
        <w:rPr>
          <w:rFonts w:ascii="黑体" w:hAnsi="黑体" w:eastAsia="黑体" w:cs="宋体"/>
          <w:bCs/>
          <w:color w:val="auto"/>
          <w:sz w:val="44"/>
          <w:szCs w:val="44"/>
          <w:highlight w:val="none"/>
          <w:lang w:val="zh-CN"/>
        </w:rPr>
      </w:pPr>
    </w:p>
    <w:p>
      <w:pPr>
        <w:pStyle w:val="2"/>
        <w:rPr>
          <w:rFonts w:ascii="黑体" w:hAnsi="黑体" w:eastAsia="黑体" w:cs="宋体"/>
          <w:bCs/>
          <w:color w:val="auto"/>
          <w:sz w:val="44"/>
          <w:szCs w:val="44"/>
          <w:highlight w:val="none"/>
          <w:lang w:val="zh-CN"/>
        </w:rPr>
      </w:pPr>
    </w:p>
    <w:p>
      <w:pPr>
        <w:pStyle w:val="2"/>
        <w:rPr>
          <w:rFonts w:ascii="黑体" w:hAnsi="黑体" w:eastAsia="黑体" w:cs="宋体"/>
          <w:bCs/>
          <w:color w:val="auto"/>
          <w:sz w:val="44"/>
          <w:szCs w:val="44"/>
          <w:highlight w:val="none"/>
          <w:lang w:val="zh-CN"/>
        </w:rPr>
      </w:pPr>
    </w:p>
    <w:p>
      <w:pPr>
        <w:pStyle w:val="2"/>
        <w:rPr>
          <w:rFonts w:ascii="黑体" w:hAnsi="黑体" w:eastAsia="黑体" w:cs="宋体"/>
          <w:bCs/>
          <w:color w:val="auto"/>
          <w:sz w:val="44"/>
          <w:szCs w:val="44"/>
          <w:highlight w:val="none"/>
          <w:lang w:val="zh-CN"/>
        </w:rPr>
      </w:pPr>
    </w:p>
    <w:p>
      <w:pPr>
        <w:pStyle w:val="2"/>
        <w:rPr>
          <w:rFonts w:ascii="黑体" w:hAnsi="黑体" w:eastAsia="黑体" w:cs="宋体"/>
          <w:bCs/>
          <w:color w:val="auto"/>
          <w:sz w:val="44"/>
          <w:szCs w:val="44"/>
          <w:highlight w:val="none"/>
          <w:lang w:val="zh-CN"/>
        </w:rPr>
      </w:pPr>
    </w:p>
    <w:p>
      <w:pPr>
        <w:pStyle w:val="2"/>
        <w:rPr>
          <w:rFonts w:ascii="黑体" w:hAnsi="黑体" w:eastAsia="黑体" w:cs="宋体"/>
          <w:bCs/>
          <w:color w:val="auto"/>
          <w:sz w:val="44"/>
          <w:szCs w:val="44"/>
          <w:highlight w:val="none"/>
          <w:lang w:val="zh-CN"/>
        </w:rPr>
      </w:pPr>
    </w:p>
    <w:p>
      <w:pPr>
        <w:pStyle w:val="3"/>
        <w:jc w:val="center"/>
        <w:rPr>
          <w:rFonts w:ascii="黑体" w:hAnsi="黑体" w:eastAsia="黑体" w:cs="宋体"/>
          <w:bCs/>
          <w:color w:val="auto"/>
          <w:kern w:val="2"/>
          <w:sz w:val="44"/>
          <w:szCs w:val="44"/>
          <w:highlight w:val="none"/>
          <w:lang w:val="zh-CN"/>
        </w:rPr>
      </w:pPr>
      <w:r>
        <w:rPr>
          <w:rFonts w:hint="eastAsia" w:ascii="黑体" w:hAnsi="黑体" w:eastAsia="黑体" w:cs="宋体"/>
          <w:bCs/>
          <w:color w:val="auto"/>
          <w:kern w:val="2"/>
          <w:sz w:val="44"/>
          <w:szCs w:val="44"/>
          <w:highlight w:val="none"/>
          <w:lang w:val="zh-CN"/>
        </w:rPr>
        <w:t>第四部分开标、评标和定标</w:t>
      </w:r>
      <w:bookmarkEnd w:id="39"/>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rPr>
          <w:rFonts w:ascii="宋体" w:hAnsi="宋体" w:eastAsia="宋体" w:cs="宋体"/>
          <w:color w:val="auto"/>
          <w:sz w:val="21"/>
          <w:szCs w:val="21"/>
          <w:highlight w:val="none"/>
        </w:rPr>
      </w:pPr>
    </w:p>
    <w:p>
      <w:pPr>
        <w:pStyle w:val="460"/>
        <w:jc w:val="both"/>
        <w:rPr>
          <w:rFonts w:ascii="宋体" w:hAnsi="宋体" w:eastAsia="宋体" w:cs="宋体"/>
          <w:color w:val="auto"/>
          <w:sz w:val="21"/>
          <w:szCs w:val="21"/>
          <w:highlight w:val="none"/>
        </w:rPr>
      </w:pPr>
    </w:p>
    <w:p>
      <w:pPr>
        <w:pStyle w:val="460"/>
        <w:jc w:val="both"/>
        <w:rPr>
          <w:rFonts w:ascii="宋体" w:hAnsi="宋体" w:eastAsia="宋体" w:cs="宋体"/>
          <w:color w:val="auto"/>
          <w:sz w:val="21"/>
          <w:szCs w:val="21"/>
          <w:highlight w:val="none"/>
        </w:rPr>
      </w:pPr>
    </w:p>
    <w:p>
      <w:pPr>
        <w:pStyle w:val="460"/>
        <w:jc w:val="both"/>
        <w:rPr>
          <w:rFonts w:ascii="宋体" w:hAnsi="宋体" w:eastAsia="宋体" w:cs="宋体"/>
          <w:color w:val="auto"/>
          <w:sz w:val="21"/>
          <w:szCs w:val="21"/>
          <w:highlight w:val="none"/>
        </w:rPr>
      </w:pPr>
    </w:p>
    <w:p>
      <w:pPr>
        <w:pStyle w:val="460"/>
        <w:jc w:val="both"/>
        <w:rPr>
          <w:rFonts w:ascii="宋体" w:hAnsi="宋体" w:eastAsia="宋体" w:cs="宋体"/>
          <w:color w:val="auto"/>
          <w:sz w:val="21"/>
          <w:szCs w:val="21"/>
          <w:highlight w:val="none"/>
        </w:rPr>
      </w:pPr>
    </w:p>
    <w:p>
      <w:pPr>
        <w:pStyle w:val="460"/>
        <w:jc w:val="both"/>
        <w:rPr>
          <w:rFonts w:ascii="宋体" w:hAnsi="宋体" w:eastAsia="宋体" w:cs="宋体"/>
          <w:color w:val="auto"/>
          <w:sz w:val="21"/>
          <w:szCs w:val="21"/>
          <w:highlight w:val="none"/>
        </w:rPr>
      </w:pPr>
    </w:p>
    <w:p>
      <w:pPr>
        <w:pStyle w:val="460"/>
        <w:jc w:val="both"/>
        <w:rPr>
          <w:rFonts w:ascii="宋体" w:hAnsi="宋体" w:eastAsia="宋体" w:cs="宋体"/>
          <w:color w:val="auto"/>
          <w:sz w:val="21"/>
          <w:szCs w:val="21"/>
          <w:highlight w:val="none"/>
        </w:rPr>
      </w:pPr>
    </w:p>
    <w:p>
      <w:pPr>
        <w:pStyle w:val="460"/>
        <w:jc w:val="both"/>
        <w:rPr>
          <w:rFonts w:ascii="宋体" w:hAnsi="宋体" w:eastAsia="宋体" w:cs="宋体"/>
          <w:color w:val="auto"/>
          <w:sz w:val="21"/>
          <w:szCs w:val="21"/>
          <w:highlight w:val="none"/>
        </w:rPr>
      </w:pPr>
    </w:p>
    <w:p>
      <w:pPr>
        <w:pStyle w:val="460"/>
        <w:jc w:val="both"/>
        <w:rPr>
          <w:rFonts w:ascii="宋体" w:hAnsi="宋体" w:eastAsia="宋体" w:cs="宋体"/>
          <w:color w:val="auto"/>
          <w:sz w:val="21"/>
          <w:szCs w:val="21"/>
          <w:highlight w:val="none"/>
        </w:rPr>
      </w:pPr>
    </w:p>
    <w:p>
      <w:pPr>
        <w:pStyle w:val="460"/>
        <w:jc w:val="both"/>
        <w:rPr>
          <w:rFonts w:ascii="宋体" w:hAnsi="宋体" w:eastAsia="宋体" w:cs="宋体"/>
          <w:color w:val="auto"/>
          <w:sz w:val="21"/>
          <w:szCs w:val="21"/>
          <w:highlight w:val="none"/>
        </w:rPr>
      </w:pPr>
    </w:p>
    <w:p>
      <w:pPr>
        <w:pStyle w:val="460"/>
        <w:jc w:val="both"/>
        <w:rPr>
          <w:rFonts w:ascii="宋体" w:hAnsi="宋体" w:eastAsia="宋体" w:cs="宋体"/>
          <w:color w:val="auto"/>
          <w:sz w:val="21"/>
          <w:szCs w:val="21"/>
          <w:highlight w:val="none"/>
        </w:rPr>
      </w:pPr>
    </w:p>
    <w:p>
      <w:pPr>
        <w:pStyle w:val="460"/>
        <w:jc w:val="both"/>
        <w:rPr>
          <w:rFonts w:ascii="宋体" w:hAnsi="宋体" w:eastAsia="宋体" w:cs="宋体"/>
          <w:color w:val="auto"/>
          <w:sz w:val="21"/>
          <w:szCs w:val="21"/>
          <w:highlight w:val="none"/>
        </w:rPr>
      </w:pPr>
    </w:p>
    <w:p>
      <w:pPr>
        <w:jc w:val="center"/>
        <w:rPr>
          <w:b/>
          <w:bCs/>
          <w:color w:val="auto"/>
          <w:sz w:val="28"/>
          <w:szCs w:val="28"/>
          <w:highlight w:val="none"/>
        </w:rPr>
      </w:pPr>
      <w:r>
        <w:rPr>
          <w:rFonts w:hint="eastAsia"/>
          <w:b/>
          <w:bCs/>
          <w:color w:val="auto"/>
          <w:sz w:val="28"/>
          <w:szCs w:val="28"/>
          <w:highlight w:val="none"/>
        </w:rPr>
        <w:t>第四部分开标、评标和定标</w:t>
      </w:r>
    </w:p>
    <w:p>
      <w:pPr>
        <w:jc w:val="center"/>
        <w:rPr>
          <w:b/>
          <w:bCs/>
          <w:color w:val="auto"/>
          <w:szCs w:val="21"/>
          <w:highlight w:val="none"/>
        </w:rPr>
      </w:pPr>
    </w:p>
    <w:p>
      <w:pPr>
        <w:adjustRightInd w:val="0"/>
        <w:snapToGrid w:val="0"/>
        <w:spacing w:line="360" w:lineRule="auto"/>
        <w:ind w:left="430" w:hanging="430" w:hangingChars="204"/>
        <w:rPr>
          <w:rFonts w:ascii="宋体"/>
          <w:b/>
          <w:color w:val="auto"/>
          <w:szCs w:val="21"/>
          <w:highlight w:val="none"/>
        </w:rPr>
      </w:pPr>
      <w:r>
        <w:rPr>
          <w:rFonts w:hint="eastAsia" w:ascii="宋体" w:hAnsi="宋体"/>
          <w:b/>
          <w:color w:val="auto"/>
          <w:szCs w:val="21"/>
          <w:highlight w:val="none"/>
        </w:rPr>
        <w:t>一、开标</w:t>
      </w:r>
    </w:p>
    <w:p>
      <w:pPr>
        <w:adjustRightInd w:val="0"/>
        <w:snapToGrid w:val="0"/>
        <w:spacing w:line="360" w:lineRule="auto"/>
        <w:ind w:left="533" w:hanging="533" w:hangingChars="254"/>
        <w:rPr>
          <w:rFonts w:ascii="宋体"/>
          <w:color w:val="auto"/>
          <w:szCs w:val="21"/>
          <w:highlight w:val="none"/>
        </w:rPr>
      </w:pPr>
      <w:r>
        <w:rPr>
          <w:rFonts w:ascii="宋体" w:hAnsi="宋体"/>
          <w:color w:val="auto"/>
          <w:szCs w:val="21"/>
          <w:highlight w:val="none"/>
        </w:rPr>
        <w:t xml:space="preserve">1.1  </w:t>
      </w:r>
      <w:r>
        <w:rPr>
          <w:rFonts w:hint="eastAsia" w:ascii="宋体" w:hAnsi="宋体"/>
          <w:color w:val="auto"/>
          <w:szCs w:val="21"/>
          <w:highlight w:val="none"/>
        </w:rPr>
        <w:t>政府采购代理机构在《投标邀请函》中规定的日期、时间和地点组织公开开标。参加开标的投标人代表应在投标截止时间前完成签到，以投标截止时间前签署的纸质签到文件确认投标文件递交的有效性。</w:t>
      </w:r>
    </w:p>
    <w:p>
      <w:pPr>
        <w:adjustRightInd w:val="0"/>
        <w:snapToGrid w:val="0"/>
        <w:spacing w:line="360" w:lineRule="auto"/>
        <w:ind w:left="533" w:hanging="533" w:hangingChars="254"/>
        <w:rPr>
          <w:rFonts w:ascii="宋体" w:cs="宋体"/>
          <w:color w:val="auto"/>
          <w:szCs w:val="21"/>
          <w:highlight w:val="none"/>
        </w:rPr>
      </w:pPr>
      <w:r>
        <w:rPr>
          <w:rFonts w:ascii="宋体" w:hAnsi="宋体"/>
          <w:color w:val="auto"/>
          <w:szCs w:val="21"/>
          <w:highlight w:val="none"/>
        </w:rPr>
        <w:t xml:space="preserve">1.2  </w:t>
      </w:r>
      <w:r>
        <w:rPr>
          <w:rFonts w:hint="eastAsia" w:ascii="宋体" w:hAnsi="宋体"/>
          <w:color w:val="auto"/>
          <w:szCs w:val="21"/>
          <w:highlight w:val="none"/>
        </w:rPr>
        <w:t>开标时，由投标人或其推选的代表检查投标文件的密封情况；经确认无误后由采购人或政府采购代理机构工作人员当众拆封，</w:t>
      </w:r>
      <w:r>
        <w:rPr>
          <w:rFonts w:hint="eastAsia" w:ascii="宋体" w:hAnsi="宋体" w:cs="宋体"/>
          <w:color w:val="auto"/>
          <w:szCs w:val="21"/>
          <w:highlight w:val="none"/>
        </w:rPr>
        <w:t>宣布投标人名称、投标价格和招标文件规定的需要宣布的其他内容</w:t>
      </w:r>
      <w:r>
        <w:rPr>
          <w:rFonts w:hint="eastAsia" w:ascii="宋体" w:hAnsi="宋体" w:cs="宋体"/>
          <w:color w:val="auto"/>
          <w:szCs w:val="21"/>
          <w:highlight w:val="none"/>
          <w:lang w:eastAsia="zh-TW"/>
        </w:rPr>
        <w:t>。</w:t>
      </w:r>
    </w:p>
    <w:p>
      <w:pPr>
        <w:adjustRightInd w:val="0"/>
        <w:snapToGrid w:val="0"/>
        <w:spacing w:line="360" w:lineRule="auto"/>
        <w:ind w:left="428" w:hanging="428" w:hangingChars="204"/>
        <w:rPr>
          <w:rFonts w:ascii="宋体"/>
          <w:color w:val="auto"/>
          <w:szCs w:val="21"/>
          <w:highlight w:val="none"/>
        </w:rPr>
      </w:pPr>
      <w:r>
        <w:rPr>
          <w:rFonts w:ascii="宋体" w:hAnsi="宋体"/>
          <w:color w:val="auto"/>
          <w:szCs w:val="21"/>
          <w:highlight w:val="none"/>
        </w:rPr>
        <w:t xml:space="preserve">1.3  </w:t>
      </w:r>
      <w:r>
        <w:rPr>
          <w:rFonts w:hint="eastAsia" w:ascii="宋体" w:hAnsi="宋体"/>
          <w:color w:val="auto"/>
          <w:szCs w:val="21"/>
          <w:highlight w:val="none"/>
        </w:rPr>
        <w:t>采购人或政府采购代理机构做好开标记录，开标记录由各投标人签字确认。</w:t>
      </w:r>
    </w:p>
    <w:p>
      <w:pPr>
        <w:tabs>
          <w:tab w:val="left" w:pos="425"/>
          <w:tab w:val="left" w:pos="567"/>
        </w:tabs>
        <w:autoSpaceDE w:val="0"/>
        <w:autoSpaceDN w:val="0"/>
        <w:adjustRightInd w:val="0"/>
        <w:snapToGrid w:val="0"/>
        <w:spacing w:line="360" w:lineRule="auto"/>
        <w:ind w:left="525" w:hanging="525" w:hangingChars="250"/>
        <w:rPr>
          <w:rFonts w:ascii="宋体" w:cs="宋体"/>
          <w:color w:val="auto"/>
          <w:szCs w:val="21"/>
          <w:highlight w:val="none"/>
        </w:rPr>
      </w:pPr>
      <w:r>
        <w:rPr>
          <w:rFonts w:ascii="宋体" w:hAnsi="宋体" w:cs="宋体"/>
          <w:color w:val="auto"/>
          <w:szCs w:val="21"/>
          <w:highlight w:val="none"/>
        </w:rPr>
        <w:t xml:space="preserve">1.4  </w:t>
      </w:r>
      <w:r>
        <w:rPr>
          <w:rFonts w:hint="eastAsia" w:ascii="宋体" w:hAnsi="宋体" w:cs="宋体"/>
          <w:color w:val="auto"/>
          <w:szCs w:val="21"/>
          <w:highlight w:val="none"/>
        </w:rPr>
        <w:t>投标人代表对开标过程和开标记录有疑义，以及认为采购人、政府采购代理机构相关工作人员有需要回避的情形的，应当场提出询问或者回避申请。投标人未参加开标的，视同认可开标结果。</w:t>
      </w:r>
    </w:p>
    <w:p>
      <w:pPr>
        <w:adjustRightInd w:val="0"/>
        <w:snapToGrid w:val="0"/>
        <w:spacing w:line="360" w:lineRule="auto"/>
        <w:ind w:left="430" w:hanging="430" w:hangingChars="204"/>
        <w:rPr>
          <w:rFonts w:ascii="宋体"/>
          <w:b/>
          <w:color w:val="auto"/>
          <w:szCs w:val="21"/>
          <w:highlight w:val="none"/>
        </w:rPr>
      </w:pPr>
      <w:r>
        <w:rPr>
          <w:rFonts w:hint="eastAsia" w:ascii="宋体" w:hAnsi="宋体"/>
          <w:b/>
          <w:color w:val="auto"/>
          <w:szCs w:val="21"/>
          <w:highlight w:val="none"/>
        </w:rPr>
        <w:t>二、评标委员会的组成</w:t>
      </w:r>
    </w:p>
    <w:p>
      <w:pPr>
        <w:adjustRightInd w:val="0"/>
        <w:snapToGrid w:val="0"/>
        <w:spacing w:line="360" w:lineRule="auto"/>
        <w:ind w:left="531" w:hanging="531" w:hangingChars="253"/>
        <w:rPr>
          <w:rFonts w:ascii="宋体" w:cs="宋体"/>
          <w:color w:val="auto"/>
          <w:szCs w:val="21"/>
          <w:highlight w:val="none"/>
          <w:lang w:eastAsia="zh-TW"/>
        </w:rPr>
      </w:pPr>
      <w:r>
        <w:rPr>
          <w:rFonts w:ascii="宋体" w:hAnsi="宋体"/>
          <w:color w:val="auto"/>
          <w:szCs w:val="21"/>
          <w:highlight w:val="none"/>
        </w:rPr>
        <w:t xml:space="preserve">2.1  </w:t>
      </w:r>
      <w:r>
        <w:rPr>
          <w:rFonts w:hint="eastAsia" w:ascii="宋体" w:hAnsi="宋体"/>
          <w:color w:val="auto"/>
          <w:szCs w:val="21"/>
          <w:highlight w:val="none"/>
        </w:rPr>
        <w:t>评标由采购人或政府采购代理机构依照政府采购法律法规的规定，组建的评标委员会负责。评标委员会成员由采购人代表和（技术、经济等）方面的评审专家组成，采购人代表人数、专家人数及专业构成按政府采购规定确定。评标委员会成员依法</w:t>
      </w:r>
      <w:r>
        <w:rPr>
          <w:rFonts w:hint="eastAsia" w:ascii="宋体" w:hAnsi="宋体" w:cs="宋体"/>
          <w:color w:val="auto"/>
          <w:szCs w:val="21"/>
          <w:highlight w:val="none"/>
          <w:lang w:eastAsia="zh-TW"/>
        </w:rPr>
        <w:t>从政府采购</w:t>
      </w:r>
      <w:r>
        <w:rPr>
          <w:rFonts w:hint="eastAsia" w:ascii="宋体" w:hAnsi="宋体" w:cs="宋体"/>
          <w:color w:val="auto"/>
          <w:szCs w:val="21"/>
          <w:highlight w:val="none"/>
        </w:rPr>
        <w:t>评审</w:t>
      </w:r>
      <w:r>
        <w:rPr>
          <w:rFonts w:hint="eastAsia" w:ascii="宋体" w:hAnsi="宋体" w:cs="宋体"/>
          <w:color w:val="auto"/>
          <w:szCs w:val="21"/>
          <w:highlight w:val="none"/>
          <w:lang w:eastAsia="zh-TW"/>
        </w:rPr>
        <w:t>专家库中随机抽取。</w:t>
      </w:r>
    </w:p>
    <w:p>
      <w:pPr>
        <w:adjustRightInd w:val="0"/>
        <w:snapToGrid w:val="0"/>
        <w:spacing w:line="360" w:lineRule="auto"/>
        <w:ind w:left="531" w:hanging="531" w:hangingChars="253"/>
        <w:rPr>
          <w:rFonts w:ascii="宋体"/>
          <w:color w:val="auto"/>
          <w:szCs w:val="21"/>
          <w:highlight w:val="none"/>
        </w:rPr>
      </w:pPr>
      <w:r>
        <w:rPr>
          <w:rFonts w:ascii="宋体" w:hAnsi="宋体"/>
          <w:color w:val="auto"/>
          <w:szCs w:val="21"/>
          <w:highlight w:val="none"/>
        </w:rPr>
        <w:t xml:space="preserve">2.2  </w:t>
      </w:r>
      <w:r>
        <w:rPr>
          <w:rFonts w:hint="eastAsia" w:ascii="宋体" w:hAnsi="宋体"/>
          <w:color w:val="auto"/>
          <w:szCs w:val="21"/>
          <w:highlight w:val="none"/>
        </w:rPr>
        <w:t>评标委员会名单在评审结果确定前严格保密。评审专家有下列情形之一的，应主动提出回避，采购当事人也可以要求该评审专家回避：</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评标委员会中，同一任职单位评审专家超过二名的；</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参与招标文件论证的；</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2.2.3</w:t>
      </w:r>
      <w:r>
        <w:rPr>
          <w:rFonts w:hint="eastAsia" w:ascii="宋体" w:hAnsi="宋体"/>
          <w:color w:val="auto"/>
          <w:szCs w:val="21"/>
          <w:highlight w:val="none"/>
        </w:rPr>
        <w:t>参加采购活动前</w:t>
      </w:r>
      <w:r>
        <w:rPr>
          <w:rFonts w:ascii="宋体" w:hAnsi="宋体"/>
          <w:color w:val="auto"/>
          <w:szCs w:val="21"/>
          <w:highlight w:val="none"/>
        </w:rPr>
        <w:t>3</w:t>
      </w:r>
      <w:r>
        <w:rPr>
          <w:rFonts w:hint="eastAsia" w:ascii="宋体" w:hAnsi="宋体"/>
          <w:color w:val="auto"/>
          <w:szCs w:val="21"/>
          <w:highlight w:val="none"/>
        </w:rPr>
        <w:t>年内与供应商存在劳动关系；</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参加采购活动前</w:t>
      </w:r>
      <w:r>
        <w:rPr>
          <w:rFonts w:ascii="宋体" w:hAnsi="宋体"/>
          <w:color w:val="auto"/>
          <w:szCs w:val="21"/>
          <w:highlight w:val="none"/>
        </w:rPr>
        <w:t>3</w:t>
      </w:r>
      <w:r>
        <w:rPr>
          <w:rFonts w:hint="eastAsia" w:ascii="宋体" w:hAnsi="宋体"/>
          <w:color w:val="auto"/>
          <w:szCs w:val="21"/>
          <w:highlight w:val="none"/>
        </w:rPr>
        <w:t>年内担任供应商的董事、监事；</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2.2.5</w:t>
      </w:r>
      <w:r>
        <w:rPr>
          <w:rFonts w:hint="eastAsia" w:ascii="宋体" w:hAnsi="宋体"/>
          <w:color w:val="auto"/>
          <w:szCs w:val="21"/>
          <w:highlight w:val="none"/>
        </w:rPr>
        <w:t>参加采购活动前</w:t>
      </w:r>
      <w:r>
        <w:rPr>
          <w:rFonts w:ascii="宋体" w:hAnsi="宋体"/>
          <w:color w:val="auto"/>
          <w:szCs w:val="21"/>
          <w:highlight w:val="none"/>
        </w:rPr>
        <w:t>3</w:t>
      </w:r>
      <w:r>
        <w:rPr>
          <w:rFonts w:hint="eastAsia" w:ascii="宋体" w:hAnsi="宋体"/>
          <w:color w:val="auto"/>
          <w:szCs w:val="21"/>
          <w:highlight w:val="none"/>
        </w:rPr>
        <w:t>年内是供应商的控股股东或者实际控制人；</w:t>
      </w:r>
    </w:p>
    <w:p>
      <w:pPr>
        <w:adjustRightInd w:val="0"/>
        <w:snapToGrid w:val="0"/>
        <w:spacing w:line="360" w:lineRule="auto"/>
        <w:ind w:left="1165" w:leftChars="269" w:hanging="600" w:hangingChars="286"/>
        <w:rPr>
          <w:rFonts w:ascii="宋体"/>
          <w:color w:val="auto"/>
          <w:szCs w:val="21"/>
          <w:highlight w:val="none"/>
        </w:rPr>
      </w:pPr>
      <w:r>
        <w:rPr>
          <w:rFonts w:ascii="宋体" w:hAnsi="宋体"/>
          <w:color w:val="auto"/>
          <w:szCs w:val="21"/>
          <w:highlight w:val="none"/>
        </w:rPr>
        <w:t>2.2.6</w:t>
      </w:r>
      <w:r>
        <w:rPr>
          <w:rFonts w:hint="eastAsia" w:ascii="宋体" w:hAnsi="宋体"/>
          <w:color w:val="auto"/>
          <w:szCs w:val="21"/>
          <w:highlight w:val="none"/>
        </w:rPr>
        <w:t>与供应商的法定代表人或者负责人有夫妻、直系血亲、三代以内旁系血亲或者近姻亲关系；</w:t>
      </w:r>
    </w:p>
    <w:p>
      <w:pPr>
        <w:adjustRightInd w:val="0"/>
        <w:snapToGrid w:val="0"/>
        <w:spacing w:line="360" w:lineRule="auto"/>
        <w:ind w:left="422" w:leftChars="201" w:firstLine="105" w:firstLineChars="50"/>
        <w:rPr>
          <w:rFonts w:ascii="宋体"/>
          <w:color w:val="auto"/>
          <w:szCs w:val="21"/>
          <w:highlight w:val="none"/>
        </w:rPr>
      </w:pPr>
      <w:r>
        <w:rPr>
          <w:rFonts w:ascii="宋体" w:hAnsi="宋体"/>
          <w:color w:val="auto"/>
          <w:szCs w:val="21"/>
          <w:highlight w:val="none"/>
        </w:rPr>
        <w:t xml:space="preserve">2.2.7 </w:t>
      </w:r>
      <w:r>
        <w:rPr>
          <w:rFonts w:hint="eastAsia" w:ascii="宋体" w:hAnsi="宋体"/>
          <w:color w:val="auto"/>
          <w:szCs w:val="21"/>
          <w:highlight w:val="none"/>
        </w:rPr>
        <w:t>与供应商有其他可能影响政府采购活动公平、公正进行的关系。</w:t>
      </w:r>
    </w:p>
    <w:p>
      <w:pPr>
        <w:adjustRightInd w:val="0"/>
        <w:snapToGrid w:val="0"/>
        <w:spacing w:line="360" w:lineRule="auto"/>
        <w:ind w:left="428" w:hanging="428" w:hangingChars="204"/>
        <w:rPr>
          <w:rFonts w:ascii="宋体"/>
          <w:color w:val="auto"/>
          <w:szCs w:val="21"/>
          <w:highlight w:val="none"/>
        </w:rPr>
      </w:pPr>
      <w:r>
        <w:rPr>
          <w:rFonts w:ascii="宋体" w:hAnsi="宋体"/>
          <w:color w:val="auto"/>
          <w:szCs w:val="21"/>
          <w:highlight w:val="none"/>
        </w:rPr>
        <w:t xml:space="preserve">2.3 </w:t>
      </w:r>
      <w:r>
        <w:rPr>
          <w:rFonts w:hint="eastAsia" w:ascii="宋体" w:hAnsi="宋体"/>
          <w:color w:val="auto"/>
          <w:szCs w:val="21"/>
          <w:highlight w:val="none"/>
        </w:rPr>
        <w:t>评标委员会和有关工作人员不得透露对投标文件的评审和比较以及与评标有关的其他情况。</w:t>
      </w:r>
    </w:p>
    <w:p>
      <w:pPr>
        <w:adjustRightInd w:val="0"/>
        <w:snapToGrid w:val="0"/>
        <w:spacing w:line="360" w:lineRule="auto"/>
        <w:ind w:left="428" w:hanging="428" w:hangingChars="204"/>
        <w:rPr>
          <w:rFonts w:ascii="宋体"/>
          <w:color w:val="auto"/>
          <w:szCs w:val="21"/>
          <w:highlight w:val="none"/>
        </w:rPr>
      </w:pPr>
      <w:r>
        <w:rPr>
          <w:rFonts w:ascii="宋体" w:hAnsi="宋体"/>
          <w:color w:val="auto"/>
          <w:szCs w:val="21"/>
          <w:highlight w:val="none"/>
        </w:rPr>
        <w:t>2.4</w:t>
      </w:r>
      <w:r>
        <w:rPr>
          <w:rFonts w:hint="eastAsia" w:ascii="宋体" w:hAnsi="宋体"/>
          <w:color w:val="auto"/>
          <w:szCs w:val="21"/>
          <w:highlight w:val="none"/>
        </w:rPr>
        <w:t>评标委员会将按照招标文件确定的评标方法进行评标。对招标文件中描述有歧义或前后不一致的地方，评标委员会有权按法律法规的规定进行评判，但对同一条款的评判应适用于每个供应商。</w:t>
      </w:r>
    </w:p>
    <w:p>
      <w:pPr>
        <w:adjustRightInd w:val="0"/>
        <w:snapToGrid w:val="0"/>
        <w:spacing w:line="360" w:lineRule="auto"/>
        <w:ind w:left="430" w:hanging="430" w:hangingChars="204"/>
        <w:rPr>
          <w:rFonts w:ascii="宋体"/>
          <w:b/>
          <w:color w:val="auto"/>
          <w:szCs w:val="21"/>
          <w:highlight w:val="none"/>
        </w:rPr>
      </w:pPr>
      <w:r>
        <w:rPr>
          <w:rFonts w:hint="eastAsia" w:ascii="宋体" w:hAnsi="宋体"/>
          <w:b/>
          <w:color w:val="auto"/>
          <w:szCs w:val="21"/>
          <w:highlight w:val="none"/>
        </w:rPr>
        <w:t>三、评标方法、步骤及标准</w:t>
      </w:r>
    </w:p>
    <w:p>
      <w:pPr>
        <w:adjustRightInd w:val="0"/>
        <w:snapToGrid w:val="0"/>
        <w:spacing w:line="360" w:lineRule="auto"/>
        <w:ind w:left="428" w:hanging="428" w:hangingChars="204"/>
        <w:rPr>
          <w:rFonts w:ascii="宋体"/>
          <w:color w:val="auto"/>
          <w:szCs w:val="21"/>
          <w:highlight w:val="none"/>
        </w:rPr>
      </w:pPr>
      <w:r>
        <w:rPr>
          <w:rFonts w:ascii="宋体" w:hAnsi="宋体"/>
          <w:color w:val="auto"/>
          <w:szCs w:val="21"/>
          <w:highlight w:val="none"/>
        </w:rPr>
        <w:t xml:space="preserve">3.1  </w:t>
      </w:r>
      <w:r>
        <w:rPr>
          <w:rFonts w:hint="eastAsia" w:ascii="宋体" w:hAnsi="宋体"/>
          <w:color w:val="auto"/>
          <w:szCs w:val="21"/>
          <w:highlight w:val="none"/>
        </w:rPr>
        <w:t>本次评标采用</w:t>
      </w:r>
      <w:r>
        <w:rPr>
          <w:rFonts w:hint="eastAsia" w:ascii="宋体" w:hAnsi="宋体"/>
          <w:b/>
          <w:color w:val="auto"/>
          <w:szCs w:val="21"/>
          <w:highlight w:val="none"/>
        </w:rPr>
        <w:t>综合评分法</w:t>
      </w:r>
      <w:r>
        <w:rPr>
          <w:rFonts w:hint="eastAsia" w:ascii="宋体" w:hAnsi="宋体"/>
          <w:color w:val="auto"/>
          <w:szCs w:val="21"/>
          <w:highlight w:val="none"/>
        </w:rPr>
        <w:t>。</w:t>
      </w:r>
    </w:p>
    <w:p>
      <w:pPr>
        <w:adjustRightInd w:val="0"/>
        <w:snapToGrid w:val="0"/>
        <w:spacing w:line="360" w:lineRule="auto"/>
        <w:ind w:left="533" w:hanging="533" w:hangingChars="254"/>
        <w:rPr>
          <w:rFonts w:ascii="宋体"/>
          <w:color w:val="auto"/>
          <w:szCs w:val="21"/>
          <w:highlight w:val="none"/>
        </w:rPr>
      </w:pPr>
      <w:r>
        <w:rPr>
          <w:rFonts w:ascii="宋体" w:hAnsi="宋体"/>
          <w:color w:val="auto"/>
          <w:szCs w:val="21"/>
          <w:highlight w:val="none"/>
        </w:rPr>
        <w:t xml:space="preserve">3.2  </w:t>
      </w:r>
      <w:r>
        <w:rPr>
          <w:rFonts w:hint="eastAsia" w:ascii="宋体" w:hAnsi="宋体"/>
          <w:color w:val="auto"/>
          <w:szCs w:val="21"/>
          <w:highlight w:val="none"/>
        </w:rPr>
        <w:t>评标基本原则：评标工作应依据《中华人民共和国政府采购法》、《中华人民共和国政府采购法实施条例》以及国家和地方政府有关政府招标采购的有关法规，遵循“公开、公平、公正、择优、信用”的原则进行。</w:t>
      </w:r>
    </w:p>
    <w:p>
      <w:pPr>
        <w:adjustRightInd w:val="0"/>
        <w:snapToGrid w:val="0"/>
        <w:spacing w:line="360" w:lineRule="auto"/>
        <w:ind w:left="533" w:hanging="533" w:hangingChars="254"/>
        <w:rPr>
          <w:rFonts w:ascii="宋体"/>
          <w:color w:val="auto"/>
          <w:szCs w:val="21"/>
          <w:highlight w:val="none"/>
        </w:rPr>
      </w:pPr>
      <w:r>
        <w:rPr>
          <w:rFonts w:ascii="宋体" w:hAnsi="宋体"/>
          <w:color w:val="auto"/>
          <w:szCs w:val="21"/>
          <w:highlight w:val="none"/>
        </w:rPr>
        <w:t xml:space="preserve">3.3  </w:t>
      </w:r>
      <w:r>
        <w:rPr>
          <w:rFonts w:hint="eastAsia" w:ascii="宋体" w:hAnsi="宋体"/>
          <w:color w:val="auto"/>
          <w:szCs w:val="21"/>
          <w:highlight w:val="none"/>
        </w:rPr>
        <w:t>评标步骤：先由采购人或政府采购代理机构先对供应商的投标文件进行资格性审查，评标委员会对通过资格性审查的供应商的投标文件进行符合性审查，评标委员会对通过资格审查和符合性审查的供应商进行商务技术及价格的详细评审。最后评标委员会出具评标报告，并排序推荐三位中标候选人。</w:t>
      </w:r>
    </w:p>
    <w:p>
      <w:pPr>
        <w:adjustRightInd w:val="0"/>
        <w:snapToGrid w:val="0"/>
        <w:spacing w:line="360" w:lineRule="auto"/>
        <w:ind w:left="430" w:hanging="430" w:hangingChars="204"/>
        <w:rPr>
          <w:rFonts w:ascii="宋体"/>
          <w:b/>
          <w:bCs/>
          <w:color w:val="auto"/>
          <w:szCs w:val="21"/>
          <w:highlight w:val="none"/>
        </w:rPr>
      </w:pPr>
      <w:r>
        <w:rPr>
          <w:rFonts w:hint="eastAsia" w:ascii="宋体" w:hAnsi="宋体"/>
          <w:b/>
          <w:color w:val="auto"/>
          <w:szCs w:val="21"/>
          <w:highlight w:val="none"/>
        </w:rPr>
        <w:t>四、</w:t>
      </w:r>
      <w:r>
        <w:rPr>
          <w:rFonts w:hint="eastAsia" w:ascii="宋体" w:hAnsi="宋体"/>
          <w:b/>
          <w:bCs/>
          <w:color w:val="auto"/>
          <w:szCs w:val="21"/>
          <w:highlight w:val="none"/>
        </w:rPr>
        <w:t>投标文件的资格审查和符合性审查</w:t>
      </w:r>
    </w:p>
    <w:p>
      <w:pPr>
        <w:tabs>
          <w:tab w:val="left" w:pos="425"/>
          <w:tab w:val="left" w:pos="567"/>
        </w:tabs>
        <w:autoSpaceDE w:val="0"/>
        <w:autoSpaceDN w:val="0"/>
        <w:adjustRightInd w:val="0"/>
        <w:snapToGrid w:val="0"/>
        <w:spacing w:line="360" w:lineRule="auto"/>
        <w:ind w:left="525" w:hanging="525" w:hangingChars="250"/>
        <w:rPr>
          <w:rFonts w:ascii="宋体" w:cs="宋体"/>
          <w:color w:val="auto"/>
          <w:szCs w:val="21"/>
          <w:highlight w:val="none"/>
        </w:rPr>
      </w:pPr>
      <w:r>
        <w:rPr>
          <w:rFonts w:ascii="宋体" w:hAnsi="宋体" w:cs="宋体"/>
          <w:color w:val="auto"/>
          <w:szCs w:val="21"/>
          <w:highlight w:val="none"/>
        </w:rPr>
        <w:t xml:space="preserve">4.1  </w:t>
      </w:r>
      <w:r>
        <w:rPr>
          <w:rFonts w:hint="eastAsia" w:ascii="宋体" w:hAnsi="宋体" w:cs="宋体"/>
          <w:color w:val="auto"/>
          <w:szCs w:val="21"/>
          <w:highlight w:val="none"/>
        </w:rPr>
        <w:t>投标文件的初审包括资格审查和符合性审查。项目开标结束后，采购人或政府采购代理机构按照《资格审查表》依法对投标人的资格进行审查，以确定投标人是否满足招标文件的资格要求。评标委员会应当按照《符合性审查表》依法对符合资格的投标人的投标文件进行符合性审查，以确定其是否满足招标文件的符合性要求</w:t>
      </w:r>
      <w:r>
        <w:rPr>
          <w:rFonts w:hint="eastAsia" w:ascii="宋体" w:hAnsi="宋体" w:cs="宋体"/>
          <w:color w:val="auto"/>
          <w:szCs w:val="21"/>
          <w:highlight w:val="none"/>
          <w:lang w:eastAsia="zh-TW"/>
        </w:rPr>
        <w:t>。</w:t>
      </w:r>
    </w:p>
    <w:p>
      <w:pPr>
        <w:tabs>
          <w:tab w:val="left" w:pos="425"/>
          <w:tab w:val="left" w:pos="567"/>
        </w:tabs>
        <w:autoSpaceDE w:val="0"/>
        <w:autoSpaceDN w:val="0"/>
        <w:adjustRightInd w:val="0"/>
        <w:snapToGrid w:val="0"/>
        <w:spacing w:line="360" w:lineRule="auto"/>
        <w:ind w:left="525" w:hanging="525" w:hangingChars="250"/>
        <w:rPr>
          <w:rFonts w:ascii="宋体" w:cs="宋体"/>
          <w:color w:val="auto"/>
          <w:szCs w:val="21"/>
          <w:highlight w:val="none"/>
        </w:rPr>
      </w:pPr>
      <w:r>
        <w:rPr>
          <w:rFonts w:ascii="宋体" w:hAnsi="宋体" w:cs="宋体"/>
          <w:color w:val="auto"/>
          <w:szCs w:val="21"/>
          <w:highlight w:val="none"/>
        </w:rPr>
        <w:t xml:space="preserve">4.2  </w:t>
      </w:r>
      <w:r>
        <w:rPr>
          <w:rFonts w:hint="eastAsia" w:ascii="宋体" w:hAnsi="宋体" w:cs="宋体"/>
          <w:color w:val="auto"/>
          <w:szCs w:val="21"/>
          <w:highlight w:val="none"/>
          <w:lang w:eastAsia="zh-TW"/>
        </w:rPr>
        <w:t>在资格、符合性评审时，未能通过资格、符合性评审被认定为无效投标，</w:t>
      </w:r>
      <w:r>
        <w:rPr>
          <w:rFonts w:hint="eastAsia" w:ascii="宋体" w:hAnsi="宋体" w:cs="宋体"/>
          <w:color w:val="auto"/>
          <w:szCs w:val="21"/>
          <w:highlight w:val="none"/>
        </w:rPr>
        <w:t>对投标有效性认定意见不一致的，评标委员会按少数服从多数的原则做出结论，持不同意见的评标委员会成员应当在评标报告上签署不同意见并说明理由，否则视为同意。无效投标不能进入商务技术及价格评审。</w:t>
      </w:r>
    </w:p>
    <w:p>
      <w:pPr>
        <w:tabs>
          <w:tab w:val="left" w:pos="425"/>
          <w:tab w:val="left" w:pos="567"/>
        </w:tabs>
        <w:autoSpaceDE w:val="0"/>
        <w:autoSpaceDN w:val="0"/>
        <w:adjustRightInd w:val="0"/>
        <w:snapToGrid w:val="0"/>
        <w:spacing w:line="360" w:lineRule="auto"/>
        <w:ind w:left="525" w:hanging="525" w:hangingChars="250"/>
        <w:rPr>
          <w:rFonts w:ascii="宋体"/>
          <w:color w:val="auto"/>
          <w:szCs w:val="21"/>
          <w:highlight w:val="none"/>
        </w:rPr>
      </w:pPr>
      <w:r>
        <w:rPr>
          <w:rFonts w:ascii="宋体" w:hAnsi="宋体"/>
          <w:color w:val="auto"/>
          <w:szCs w:val="21"/>
          <w:highlight w:val="none"/>
        </w:rPr>
        <w:t xml:space="preserve">4.3  </w:t>
      </w:r>
      <w:r>
        <w:rPr>
          <w:rFonts w:hint="eastAsia" w:ascii="宋体" w:hAnsi="宋体"/>
          <w:color w:val="auto"/>
          <w:szCs w:val="21"/>
          <w:highlight w:val="none"/>
        </w:rPr>
        <w:t>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pPr>
        <w:adjustRightInd w:val="0"/>
        <w:snapToGrid w:val="0"/>
        <w:spacing w:line="360" w:lineRule="auto"/>
        <w:ind w:left="533" w:hanging="533" w:hangingChars="254"/>
        <w:rPr>
          <w:rFonts w:ascii="宋体"/>
          <w:color w:val="auto"/>
          <w:szCs w:val="21"/>
          <w:highlight w:val="none"/>
        </w:rPr>
      </w:pPr>
      <w:r>
        <w:rPr>
          <w:rFonts w:ascii="宋体" w:hAnsi="宋体"/>
          <w:color w:val="auto"/>
          <w:szCs w:val="21"/>
          <w:highlight w:val="none"/>
        </w:rPr>
        <w:t xml:space="preserve">4.4  </w:t>
      </w:r>
      <w:r>
        <w:rPr>
          <w:rFonts w:hint="eastAsia" w:ascii="宋体" w:hAnsi="宋体"/>
          <w:color w:val="auto"/>
          <w:szCs w:val="21"/>
          <w:highlight w:val="none"/>
        </w:rPr>
        <w:t>实质上没有响应招标文件要求的投标将被视为无效投标。投标人不得通过修正或撤销不合要求的偏离从而使其投标文件成为实质上响应的投标。</w:t>
      </w:r>
    </w:p>
    <w:p>
      <w:pPr>
        <w:tabs>
          <w:tab w:val="left" w:pos="425"/>
          <w:tab w:val="left" w:pos="567"/>
        </w:tabs>
        <w:autoSpaceDE w:val="0"/>
        <w:autoSpaceDN w:val="0"/>
        <w:adjustRightInd w:val="0"/>
        <w:snapToGrid w:val="0"/>
        <w:spacing w:line="360" w:lineRule="auto"/>
        <w:ind w:left="420" w:hanging="420" w:hangingChars="200"/>
        <w:rPr>
          <w:rFonts w:ascii="宋体" w:cs="宋体"/>
          <w:color w:val="auto"/>
          <w:szCs w:val="21"/>
          <w:highlight w:val="none"/>
        </w:rPr>
      </w:pPr>
      <w:r>
        <w:rPr>
          <w:rFonts w:ascii="宋体" w:hAnsi="宋体" w:cs="宋体"/>
          <w:color w:val="auto"/>
          <w:szCs w:val="21"/>
          <w:highlight w:val="none"/>
        </w:rPr>
        <w:t xml:space="preserve">4.5  </w:t>
      </w:r>
      <w:r>
        <w:rPr>
          <w:rFonts w:hint="eastAsia" w:ascii="宋体" w:hAnsi="宋体" w:cs="宋体"/>
          <w:color w:val="auto"/>
          <w:szCs w:val="21"/>
          <w:highlight w:val="none"/>
        </w:rPr>
        <w:t>投标文件报价出现前后不一致的，除招标文件另有规定外，按照下列规定修正：</w:t>
      </w:r>
    </w:p>
    <w:p>
      <w:pPr>
        <w:tabs>
          <w:tab w:val="left" w:pos="425"/>
          <w:tab w:val="left" w:pos="567"/>
        </w:tabs>
        <w:autoSpaceDE w:val="0"/>
        <w:autoSpaceDN w:val="0"/>
        <w:adjustRightInd w:val="0"/>
        <w:snapToGrid w:val="0"/>
        <w:spacing w:line="360" w:lineRule="auto"/>
        <w:ind w:firstLine="525" w:firstLineChars="250"/>
        <w:rPr>
          <w:rFonts w:ascii="宋体" w:cs="宋体"/>
          <w:color w:val="auto"/>
          <w:szCs w:val="21"/>
          <w:highlight w:val="none"/>
        </w:rPr>
      </w:pPr>
      <w:r>
        <w:rPr>
          <w:rFonts w:ascii="宋体" w:hAnsi="宋体" w:cs="宋体"/>
          <w:color w:val="auto"/>
          <w:szCs w:val="21"/>
          <w:highlight w:val="none"/>
        </w:rPr>
        <w:t xml:space="preserve">4.5.1 </w:t>
      </w:r>
      <w:r>
        <w:rPr>
          <w:rFonts w:hint="eastAsia" w:ascii="宋体" w:hAnsi="宋体" w:cs="宋体"/>
          <w:color w:val="auto"/>
          <w:szCs w:val="21"/>
          <w:highlight w:val="none"/>
          <w:lang w:eastAsia="zh-TW"/>
        </w:rPr>
        <w:t>投标文件中开标一览表内容与投标文件中明细表内容不一致的，以开标一览表为准</w:t>
      </w:r>
      <w:r>
        <w:rPr>
          <w:rFonts w:hint="eastAsia" w:ascii="宋体" w:hAnsi="宋体" w:cs="宋体"/>
          <w:color w:val="auto"/>
          <w:szCs w:val="21"/>
          <w:highlight w:val="none"/>
        </w:rPr>
        <w:t>；</w:t>
      </w:r>
    </w:p>
    <w:p>
      <w:pPr>
        <w:tabs>
          <w:tab w:val="left" w:pos="425"/>
          <w:tab w:val="left" w:pos="567"/>
        </w:tabs>
        <w:autoSpaceDE w:val="0"/>
        <w:autoSpaceDN w:val="0"/>
        <w:adjustRightInd w:val="0"/>
        <w:snapToGrid w:val="0"/>
        <w:spacing w:line="360" w:lineRule="auto"/>
        <w:ind w:firstLine="525" w:firstLineChars="250"/>
        <w:rPr>
          <w:rFonts w:ascii="宋体" w:cs="宋体"/>
          <w:color w:val="auto"/>
          <w:szCs w:val="21"/>
          <w:highlight w:val="none"/>
          <w:lang w:eastAsia="zh-TW"/>
        </w:rPr>
      </w:pPr>
      <w:r>
        <w:rPr>
          <w:rFonts w:ascii="宋体" w:hAnsi="宋体" w:cs="宋体"/>
          <w:color w:val="auto"/>
          <w:szCs w:val="21"/>
          <w:highlight w:val="none"/>
        </w:rPr>
        <w:t xml:space="preserve">4.5.2 </w:t>
      </w:r>
      <w:r>
        <w:rPr>
          <w:rFonts w:hint="eastAsia" w:ascii="宋体" w:hAnsi="宋体" w:cs="宋体"/>
          <w:color w:val="auto"/>
          <w:szCs w:val="21"/>
          <w:highlight w:val="none"/>
          <w:lang w:eastAsia="zh-TW"/>
        </w:rPr>
        <w:t>大写金额和小写金额不一致的，以大写金额为准；</w:t>
      </w:r>
    </w:p>
    <w:p>
      <w:pPr>
        <w:tabs>
          <w:tab w:val="left" w:pos="425"/>
          <w:tab w:val="left" w:pos="567"/>
        </w:tabs>
        <w:autoSpaceDE w:val="0"/>
        <w:autoSpaceDN w:val="0"/>
        <w:adjustRightInd w:val="0"/>
        <w:snapToGrid w:val="0"/>
        <w:spacing w:line="360" w:lineRule="auto"/>
        <w:ind w:firstLine="525" w:firstLineChars="250"/>
        <w:rPr>
          <w:rFonts w:ascii="宋体" w:cs="宋体"/>
          <w:color w:val="auto"/>
          <w:szCs w:val="21"/>
          <w:highlight w:val="none"/>
          <w:lang w:eastAsia="zh-TW"/>
        </w:rPr>
      </w:pPr>
      <w:r>
        <w:rPr>
          <w:rFonts w:ascii="宋体" w:hAnsi="宋体" w:cs="宋体"/>
          <w:color w:val="auto"/>
          <w:szCs w:val="21"/>
          <w:highlight w:val="none"/>
        </w:rPr>
        <w:t xml:space="preserve">4.5.3 </w:t>
      </w:r>
      <w:r>
        <w:rPr>
          <w:rFonts w:hint="eastAsia" w:ascii="宋体" w:hAnsi="宋体" w:cs="宋体"/>
          <w:color w:val="auto"/>
          <w:szCs w:val="21"/>
          <w:highlight w:val="none"/>
          <w:lang w:eastAsia="zh-TW"/>
        </w:rPr>
        <w:t>单价金额小数点有明显错位的，应以总价为准，并修改单价；</w:t>
      </w:r>
    </w:p>
    <w:p>
      <w:pPr>
        <w:tabs>
          <w:tab w:val="left" w:pos="425"/>
          <w:tab w:val="left" w:pos="567"/>
        </w:tabs>
        <w:autoSpaceDE w:val="0"/>
        <w:autoSpaceDN w:val="0"/>
        <w:adjustRightInd w:val="0"/>
        <w:snapToGrid w:val="0"/>
        <w:spacing w:line="360" w:lineRule="auto"/>
        <w:ind w:firstLine="525" w:firstLineChars="250"/>
        <w:rPr>
          <w:rFonts w:ascii="宋体" w:cs="宋体"/>
          <w:color w:val="auto"/>
          <w:szCs w:val="21"/>
          <w:highlight w:val="none"/>
        </w:rPr>
      </w:pPr>
      <w:r>
        <w:rPr>
          <w:rFonts w:ascii="宋体" w:hAnsi="宋体" w:cs="宋体"/>
          <w:color w:val="auto"/>
          <w:szCs w:val="21"/>
          <w:highlight w:val="none"/>
        </w:rPr>
        <w:t xml:space="preserve">4.5.4 </w:t>
      </w:r>
      <w:r>
        <w:rPr>
          <w:rFonts w:hint="eastAsia" w:ascii="宋体" w:hAnsi="宋体" w:cs="宋体"/>
          <w:color w:val="auto"/>
          <w:szCs w:val="21"/>
          <w:highlight w:val="none"/>
          <w:lang w:eastAsia="zh-TW"/>
        </w:rPr>
        <w:t>总价金额与按单价汇总金额不一致的，以单价金额计算结果为准</w:t>
      </w:r>
      <w:r>
        <w:rPr>
          <w:rFonts w:hint="eastAsia" w:ascii="宋体" w:hAnsi="宋体" w:cs="宋体"/>
          <w:color w:val="auto"/>
          <w:szCs w:val="21"/>
          <w:highlight w:val="none"/>
        </w:rPr>
        <w:t>。</w:t>
      </w:r>
    </w:p>
    <w:p>
      <w:pPr>
        <w:tabs>
          <w:tab w:val="left" w:pos="425"/>
          <w:tab w:val="left" w:pos="567"/>
        </w:tabs>
        <w:autoSpaceDE w:val="0"/>
        <w:autoSpaceDN w:val="0"/>
        <w:adjustRightInd w:val="0"/>
        <w:snapToGrid w:val="0"/>
        <w:spacing w:line="360" w:lineRule="auto"/>
        <w:ind w:left="525" w:leftChars="250"/>
        <w:rPr>
          <w:rFonts w:asci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同时出现两种以上不一致的，按照前款规定的顺序修正。修正后的报价按照本章</w:t>
      </w:r>
      <w:r>
        <w:rPr>
          <w:rFonts w:ascii="宋体" w:hAnsi="宋体" w:cs="宋体"/>
          <w:color w:val="auto"/>
          <w:szCs w:val="21"/>
          <w:highlight w:val="none"/>
        </w:rPr>
        <w:t>5.1</w:t>
      </w:r>
      <w:r>
        <w:rPr>
          <w:rFonts w:hint="eastAsia" w:ascii="宋体" w:hAnsi="宋体" w:cs="宋体"/>
          <w:color w:val="auto"/>
          <w:szCs w:val="21"/>
          <w:highlight w:val="none"/>
        </w:rPr>
        <w:t>的规定经投标人确认后产生约束力，投标人不确认的，其投标无效</w:t>
      </w:r>
      <w:r>
        <w:rPr>
          <w:rFonts w:hint="eastAsia" w:hAnsi="宋体"/>
          <w:color w:val="auto"/>
          <w:szCs w:val="24"/>
          <w:highlight w:val="none"/>
        </w:rPr>
        <w:t>（投标人没有在评标委员会规定的时间内确认的，视为不确认）</w:t>
      </w:r>
      <w:r>
        <w:rPr>
          <w:rFonts w:hint="eastAsia" w:ascii="宋体" w:hAnsi="宋体" w:cs="宋体"/>
          <w:color w:val="auto"/>
          <w:szCs w:val="21"/>
          <w:highlight w:val="none"/>
        </w:rPr>
        <w:t>。</w:t>
      </w:r>
    </w:p>
    <w:p>
      <w:pPr>
        <w:tabs>
          <w:tab w:val="left" w:pos="8280"/>
        </w:tabs>
        <w:autoSpaceDE w:val="0"/>
        <w:autoSpaceDN w:val="0"/>
        <w:adjustRightInd w:val="0"/>
        <w:snapToGrid w:val="0"/>
        <w:spacing w:line="348" w:lineRule="auto"/>
        <w:ind w:left="525" w:right="32" w:hanging="525" w:hangingChars="250"/>
        <w:rPr>
          <w:rFonts w:ascii="宋体"/>
          <w:color w:val="auto"/>
          <w:highlight w:val="none"/>
        </w:rPr>
      </w:pPr>
      <w:r>
        <w:rPr>
          <w:rFonts w:ascii="宋体" w:hAnsi="宋体"/>
          <w:color w:val="auto"/>
          <w:szCs w:val="21"/>
          <w:highlight w:val="none"/>
        </w:rPr>
        <w:t xml:space="preserve">4.6  </w:t>
      </w:r>
      <w:r>
        <w:rPr>
          <w:rFonts w:hint="eastAsia" w:ascii="宋体" w:hAnsi="宋体"/>
          <w:color w:val="auto"/>
          <w:highlight w:val="none"/>
        </w:rPr>
        <w:t>无效投标的认定</w:t>
      </w:r>
    </w:p>
    <w:p>
      <w:pPr>
        <w:tabs>
          <w:tab w:val="left" w:pos="8280"/>
        </w:tabs>
        <w:autoSpaceDE w:val="0"/>
        <w:autoSpaceDN w:val="0"/>
        <w:adjustRightInd w:val="0"/>
        <w:snapToGrid w:val="0"/>
        <w:spacing w:line="348" w:lineRule="auto"/>
        <w:ind w:left="525" w:leftChars="250" w:right="32"/>
        <w:rPr>
          <w:rFonts w:ascii="宋体"/>
          <w:color w:val="auto"/>
          <w:szCs w:val="21"/>
          <w:highlight w:val="none"/>
        </w:rPr>
      </w:pPr>
      <w:r>
        <w:rPr>
          <w:rFonts w:ascii="宋体" w:hAnsi="宋体"/>
          <w:color w:val="auto"/>
          <w:szCs w:val="21"/>
          <w:highlight w:val="none"/>
        </w:rPr>
        <w:t xml:space="preserve">4.6.1 </w:t>
      </w:r>
      <w:r>
        <w:rPr>
          <w:rFonts w:hint="eastAsia" w:ascii="宋体" w:hAnsi="宋体"/>
          <w:color w:val="auto"/>
          <w:szCs w:val="21"/>
          <w:highlight w:val="none"/>
        </w:rPr>
        <w:t>资格审查：在资格审查时，如发现下列情形之一的，投标文件将确定为无效投标：</w:t>
      </w:r>
    </w:p>
    <w:p>
      <w:pPr>
        <w:spacing w:line="348" w:lineRule="auto"/>
        <w:ind w:firstLine="525" w:firstLineChars="250"/>
        <w:rPr>
          <w:rFonts w:ascii="宋体"/>
          <w:color w:val="auto"/>
          <w:highlight w:val="none"/>
        </w:rPr>
      </w:pPr>
      <w:r>
        <w:rPr>
          <w:rFonts w:ascii="宋体" w:hAnsi="宋体"/>
          <w:color w:val="auto"/>
          <w:szCs w:val="21"/>
          <w:highlight w:val="none"/>
        </w:rPr>
        <w:t>1)</w:t>
      </w:r>
      <w:r>
        <w:rPr>
          <w:rFonts w:hint="eastAsia" w:ascii="宋体" w:hAnsi="宋体"/>
          <w:color w:val="auto"/>
          <w:highlight w:val="none"/>
        </w:rPr>
        <w:t>投标人不符合合格投标人的资格要求（见第一部分投标邀请函第六点合格供应商资格要求）；</w:t>
      </w:r>
    </w:p>
    <w:p>
      <w:pPr>
        <w:spacing w:line="348" w:lineRule="auto"/>
        <w:ind w:firstLine="525" w:firstLineChars="250"/>
        <w:rPr>
          <w:rFonts w:ascii="宋体"/>
          <w:color w:val="auto"/>
          <w:highlight w:val="none"/>
        </w:rPr>
      </w:pPr>
      <w:r>
        <w:rPr>
          <w:rFonts w:ascii="宋体" w:hAnsi="宋体"/>
          <w:color w:val="auto"/>
          <w:szCs w:val="21"/>
          <w:highlight w:val="none"/>
        </w:rPr>
        <w:t>2)</w:t>
      </w:r>
      <w:r>
        <w:rPr>
          <w:rFonts w:hint="eastAsia" w:ascii="宋体" w:hAnsi="宋体"/>
          <w:color w:val="auto"/>
          <w:highlight w:val="none"/>
        </w:rPr>
        <w:t>投标人未提交投标保证金或金额不足的。</w:t>
      </w:r>
    </w:p>
    <w:p>
      <w:pPr>
        <w:spacing w:line="348" w:lineRule="auto"/>
        <w:ind w:firstLine="525" w:firstLineChars="250"/>
        <w:rPr>
          <w:rFonts w:ascii="宋体"/>
          <w:color w:val="auto"/>
          <w:highlight w:val="none"/>
        </w:rPr>
      </w:pPr>
      <w:r>
        <w:rPr>
          <w:rFonts w:ascii="宋体" w:hAnsi="宋体"/>
          <w:color w:val="auto"/>
          <w:szCs w:val="21"/>
          <w:highlight w:val="none"/>
        </w:rPr>
        <w:t>3)</w:t>
      </w:r>
      <w:r>
        <w:rPr>
          <w:rFonts w:hint="eastAsia" w:ascii="宋体" w:hAnsi="宋体"/>
          <w:color w:val="auto"/>
          <w:highlight w:val="none"/>
        </w:rPr>
        <w:t>投标人未在规定的时间内到政府采购代理机构购买招标文件的；</w:t>
      </w:r>
    </w:p>
    <w:p>
      <w:pPr>
        <w:spacing w:line="348" w:lineRule="auto"/>
        <w:ind w:firstLine="525" w:firstLineChars="250"/>
        <w:rPr>
          <w:rFonts w:ascii="宋体"/>
          <w:color w:val="auto"/>
          <w:highlight w:val="none"/>
        </w:rPr>
      </w:pPr>
      <w:r>
        <w:rPr>
          <w:rFonts w:hint="eastAsia" w:ascii="宋体" w:hAnsi="宋体"/>
          <w:color w:val="auto"/>
          <w:highlight w:val="none"/>
        </w:rPr>
        <w:t>资格审查标准：详见《资格审查表》</w:t>
      </w:r>
      <w:r>
        <w:rPr>
          <w:rFonts w:hint="eastAsia" w:ascii="宋体" w:hAnsi="宋体"/>
          <w:color w:val="auto"/>
          <w:szCs w:val="21"/>
          <w:highlight w:val="none"/>
        </w:rPr>
        <w:t>（附表</w:t>
      </w:r>
      <w:r>
        <w:rPr>
          <w:rFonts w:ascii="宋体" w:hAnsi="宋体"/>
          <w:color w:val="auto"/>
          <w:szCs w:val="21"/>
          <w:highlight w:val="none"/>
        </w:rPr>
        <w:t>1-1</w:t>
      </w:r>
      <w:r>
        <w:rPr>
          <w:rFonts w:hint="eastAsia" w:ascii="宋体" w:hAnsi="宋体"/>
          <w:color w:val="auto"/>
          <w:szCs w:val="21"/>
          <w:highlight w:val="none"/>
        </w:rPr>
        <w:t>）</w:t>
      </w:r>
      <w:r>
        <w:rPr>
          <w:rFonts w:hint="eastAsia" w:ascii="宋体" w:hAnsi="宋体"/>
          <w:color w:val="auto"/>
          <w:highlight w:val="none"/>
        </w:rPr>
        <w:t>。</w:t>
      </w:r>
    </w:p>
    <w:p>
      <w:pPr>
        <w:autoSpaceDE w:val="0"/>
        <w:autoSpaceDN w:val="0"/>
        <w:adjustRightInd w:val="0"/>
        <w:snapToGrid w:val="0"/>
        <w:spacing w:line="348" w:lineRule="auto"/>
        <w:ind w:left="630" w:leftChars="250" w:right="32" w:hanging="105" w:hangingChars="50"/>
        <w:rPr>
          <w:rFonts w:ascii="宋体"/>
          <w:color w:val="auto"/>
          <w:szCs w:val="21"/>
          <w:highlight w:val="none"/>
        </w:rPr>
      </w:pPr>
      <w:r>
        <w:rPr>
          <w:rFonts w:ascii="宋体" w:hAnsi="宋体"/>
          <w:color w:val="auto"/>
          <w:szCs w:val="21"/>
          <w:highlight w:val="none"/>
        </w:rPr>
        <w:t>4.6.2</w:t>
      </w:r>
      <w:r>
        <w:rPr>
          <w:rFonts w:hint="eastAsia" w:ascii="宋体" w:hAnsi="宋体"/>
          <w:color w:val="auto"/>
          <w:szCs w:val="21"/>
          <w:highlight w:val="none"/>
        </w:rPr>
        <w:t>符合性审查：在符合性审查时，如发现下列情形之一的，投标文件将确定为无效投标：</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投标有效期不足的；</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投标文件主要资料不齐全或签署不及格的；</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投标资料虚报或者谎报的；</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 xml:space="preserve">4) </w:t>
      </w:r>
      <w:r>
        <w:rPr>
          <w:rFonts w:hint="eastAsia" w:ascii="宋体" w:hAnsi="宋体"/>
          <w:color w:val="auto"/>
          <w:szCs w:val="21"/>
          <w:highlight w:val="none"/>
        </w:rPr>
        <w:t>投标价不是固定价或投标方案不是唯一的；</w:t>
      </w:r>
    </w:p>
    <w:p>
      <w:pPr>
        <w:adjustRightInd w:val="0"/>
        <w:snapToGrid w:val="0"/>
        <w:spacing w:line="360" w:lineRule="auto"/>
        <w:ind w:left="882" w:leftChars="270" w:hanging="315" w:hangingChars="150"/>
        <w:rPr>
          <w:rFonts w:asci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单价与总价不相符，又不接受评标委员会修正的投标总价或投标报价明显低于其他投标报价而投标人不能合理说明的；</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 xml:space="preserve">6) </w:t>
      </w:r>
      <w:r>
        <w:rPr>
          <w:rFonts w:hint="eastAsia" w:ascii="宋体" w:hAnsi="宋体"/>
          <w:color w:val="auto"/>
          <w:szCs w:val="21"/>
          <w:highlight w:val="none"/>
        </w:rPr>
        <w:t>投标报价高于本项目采购预算价的；</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 xml:space="preserve">7) </w:t>
      </w:r>
      <w:r>
        <w:rPr>
          <w:rFonts w:hint="eastAsia" w:ascii="宋体" w:hAnsi="宋体"/>
          <w:color w:val="auto"/>
          <w:szCs w:val="21"/>
          <w:highlight w:val="none"/>
        </w:rPr>
        <w:t>投标报价有重大漏项或重大不合理；</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 xml:space="preserve">8) </w:t>
      </w:r>
      <w:r>
        <w:rPr>
          <w:rFonts w:hint="eastAsia" w:ascii="宋体" w:hAnsi="宋体"/>
          <w:color w:val="auto"/>
          <w:szCs w:val="21"/>
          <w:highlight w:val="none"/>
        </w:rPr>
        <w:t>主要技术规格和参数不满足用户需求书的要求以及商务有重大偏离或保留的；</w:t>
      </w:r>
    </w:p>
    <w:p>
      <w:pPr>
        <w:adjustRightInd w:val="0"/>
        <w:snapToGrid w:val="0"/>
        <w:spacing w:line="360" w:lineRule="auto"/>
        <w:ind w:left="489" w:leftChars="233" w:firstLine="67" w:firstLineChars="32"/>
        <w:rPr>
          <w:rFonts w:ascii="宋体"/>
          <w:color w:val="auto"/>
          <w:szCs w:val="21"/>
          <w:highlight w:val="none"/>
        </w:rPr>
      </w:pPr>
      <w:r>
        <w:rPr>
          <w:rFonts w:ascii="宋体" w:hAnsi="宋体"/>
          <w:color w:val="auto"/>
          <w:szCs w:val="21"/>
          <w:highlight w:val="none"/>
        </w:rPr>
        <w:t xml:space="preserve">9) </w:t>
      </w:r>
      <w:r>
        <w:rPr>
          <w:rFonts w:hint="eastAsia" w:ascii="宋体" w:hAnsi="宋体"/>
          <w:color w:val="auto"/>
          <w:szCs w:val="21"/>
          <w:highlight w:val="none"/>
        </w:rPr>
        <w:t>评标委员会认为其它构成投标未实质性响应招标文件要求的。</w:t>
      </w:r>
    </w:p>
    <w:p>
      <w:pPr>
        <w:adjustRightInd w:val="0"/>
        <w:snapToGrid w:val="0"/>
        <w:spacing w:line="360" w:lineRule="auto"/>
        <w:ind w:left="489" w:leftChars="233" w:firstLine="67" w:firstLineChars="32"/>
        <w:rPr>
          <w:rFonts w:ascii="宋体"/>
          <w:color w:val="auto"/>
          <w:szCs w:val="21"/>
          <w:highlight w:val="none"/>
        </w:rPr>
      </w:pPr>
      <w:r>
        <w:rPr>
          <w:rFonts w:hint="eastAsia" w:ascii="宋体" w:hAnsi="宋体"/>
          <w:color w:val="auto"/>
          <w:szCs w:val="21"/>
          <w:highlight w:val="none"/>
        </w:rPr>
        <w:t>符合性审查标准：详见</w:t>
      </w:r>
      <w:r>
        <w:rPr>
          <w:rFonts w:hint="eastAsia" w:ascii="宋体" w:hAnsi="宋体"/>
          <w:color w:val="auto"/>
          <w:highlight w:val="none"/>
        </w:rPr>
        <w:t>《</w:t>
      </w:r>
      <w:r>
        <w:rPr>
          <w:rFonts w:hint="eastAsia" w:ascii="宋体" w:hAnsi="宋体"/>
          <w:color w:val="auto"/>
          <w:szCs w:val="21"/>
          <w:highlight w:val="none"/>
        </w:rPr>
        <w:t>符合性审查表</w:t>
      </w:r>
      <w:r>
        <w:rPr>
          <w:rFonts w:hint="eastAsia" w:ascii="宋体" w:hAnsi="宋体"/>
          <w:color w:val="auto"/>
          <w:highlight w:val="none"/>
        </w:rPr>
        <w:t>》</w:t>
      </w:r>
      <w:r>
        <w:rPr>
          <w:rFonts w:hint="eastAsia" w:ascii="宋体" w:hAnsi="宋体"/>
          <w:color w:val="auto"/>
          <w:szCs w:val="21"/>
          <w:highlight w:val="none"/>
        </w:rPr>
        <w:t>（附表</w:t>
      </w:r>
      <w:r>
        <w:rPr>
          <w:rFonts w:ascii="宋体" w:hAnsi="宋体"/>
          <w:color w:val="auto"/>
          <w:szCs w:val="21"/>
          <w:highlight w:val="none"/>
        </w:rPr>
        <w:t>1-2</w:t>
      </w:r>
      <w:r>
        <w:rPr>
          <w:rFonts w:hint="eastAsia" w:ascii="宋体" w:hAnsi="宋体"/>
          <w:color w:val="auto"/>
          <w:szCs w:val="21"/>
          <w:highlight w:val="none"/>
        </w:rPr>
        <w:t>）。</w:t>
      </w:r>
    </w:p>
    <w:p>
      <w:pPr>
        <w:adjustRightInd w:val="0"/>
        <w:snapToGrid w:val="0"/>
        <w:spacing w:line="360" w:lineRule="auto"/>
        <w:ind w:left="489" w:leftChars="233"/>
        <w:rPr>
          <w:rFonts w:ascii="宋体"/>
          <w:color w:val="auto"/>
          <w:szCs w:val="21"/>
          <w:highlight w:val="none"/>
        </w:rPr>
      </w:pPr>
      <w:r>
        <w:rPr>
          <w:rFonts w:ascii="宋体" w:hAnsi="宋体"/>
          <w:color w:val="auto"/>
          <w:szCs w:val="21"/>
          <w:highlight w:val="none"/>
        </w:rPr>
        <w:t>4.6.3</w:t>
      </w:r>
      <w:r>
        <w:rPr>
          <w:rFonts w:hint="eastAsia" w:ascii="宋体" w:hAnsi="宋体"/>
          <w:color w:val="auto"/>
          <w:szCs w:val="21"/>
          <w:highlight w:val="none"/>
        </w:rPr>
        <w:t>当供应商的报价低于其他通过符合性审查供应商报价算术平均值的</w:t>
      </w:r>
      <w:r>
        <w:rPr>
          <w:rFonts w:ascii="宋体" w:hAnsi="宋体"/>
          <w:color w:val="auto"/>
          <w:szCs w:val="21"/>
          <w:highlight w:val="none"/>
        </w:rPr>
        <w:t>80%</w:t>
      </w:r>
      <w:r>
        <w:rPr>
          <w:rFonts w:hint="eastAsia" w:ascii="宋体" w:hAnsi="宋体"/>
          <w:color w:val="auto"/>
          <w:szCs w:val="21"/>
          <w:highlight w:val="none"/>
        </w:rPr>
        <w:t>，有可能影响产品质量或者不能诚信履约的，评标委员会应当要求其在评标现场合理的时间内提供书面说明，必要时提交相关证明材料；供应商不能证明其报价合理性的，评标委员会应当将其作为无效投标处理（供应商没有在评标委员会规定的时间内说明的，该供应商按无效投标处理）。</w:t>
      </w:r>
    </w:p>
    <w:p>
      <w:pPr>
        <w:adjustRightInd w:val="0"/>
        <w:snapToGrid w:val="0"/>
        <w:spacing w:line="360" w:lineRule="auto"/>
        <w:ind w:left="430" w:hanging="430" w:hangingChars="204"/>
        <w:rPr>
          <w:rFonts w:ascii="宋体"/>
          <w:b/>
          <w:color w:val="auto"/>
          <w:szCs w:val="21"/>
          <w:highlight w:val="none"/>
        </w:rPr>
      </w:pPr>
      <w:r>
        <w:rPr>
          <w:rFonts w:hint="eastAsia" w:ascii="宋体" w:hAnsi="宋体"/>
          <w:b/>
          <w:color w:val="auto"/>
          <w:szCs w:val="21"/>
          <w:highlight w:val="none"/>
        </w:rPr>
        <w:t>五、投标文件的澄清</w:t>
      </w:r>
    </w:p>
    <w:p>
      <w:pPr>
        <w:adjustRightInd w:val="0"/>
        <w:snapToGrid w:val="0"/>
        <w:spacing w:line="360" w:lineRule="auto"/>
        <w:ind w:left="428" w:hanging="428" w:hangingChars="204"/>
        <w:rPr>
          <w:rFonts w:ascii="宋体"/>
          <w:color w:val="auto"/>
          <w:szCs w:val="21"/>
          <w:highlight w:val="none"/>
        </w:rPr>
      </w:pPr>
      <w:r>
        <w:rPr>
          <w:rFonts w:ascii="宋体" w:hAnsi="宋体"/>
          <w:color w:val="auto"/>
          <w:szCs w:val="21"/>
          <w:highlight w:val="none"/>
        </w:rPr>
        <w:t>5.1</w:t>
      </w:r>
      <w:r>
        <w:rPr>
          <w:rFonts w:hint="eastAsia" w:ascii="宋体" w:hAnsi="宋体"/>
          <w:color w:val="auto"/>
          <w:szCs w:val="21"/>
          <w:highlight w:val="none"/>
        </w:rPr>
        <w:t>评标期间，对投标文件中含义不明确、同类问题表述不一致或者有明显文字和计算错误的内容，评标委员会可以书面形式要求投标人作出必要的澄清、说明或者补正。投标人的澄清、说明或者补正应当采用书面形式，并加盖公章，或者由其法定代表人或授权代表签字。投标人的澄清、说明或者补正并不得超出投标文件的范围或者改变投标文件的实质性内容。</w:t>
      </w:r>
    </w:p>
    <w:p>
      <w:pPr>
        <w:adjustRightInd w:val="0"/>
        <w:snapToGrid w:val="0"/>
        <w:spacing w:line="360" w:lineRule="auto"/>
        <w:ind w:left="428" w:hanging="428" w:hangingChars="204"/>
        <w:rPr>
          <w:rFonts w:ascii="宋体"/>
          <w:color w:val="auto"/>
          <w:szCs w:val="21"/>
          <w:highlight w:val="none"/>
        </w:rPr>
      </w:pPr>
      <w:r>
        <w:rPr>
          <w:rFonts w:ascii="宋体" w:hAnsi="宋体"/>
          <w:color w:val="auto"/>
          <w:szCs w:val="21"/>
          <w:highlight w:val="none"/>
        </w:rPr>
        <w:t xml:space="preserve">5.2  </w:t>
      </w:r>
      <w:r>
        <w:rPr>
          <w:rFonts w:hint="eastAsia" w:ascii="宋体" w:hAnsi="宋体"/>
          <w:color w:val="auto"/>
          <w:szCs w:val="21"/>
          <w:highlight w:val="none"/>
        </w:rPr>
        <w:t>投标人的澄清文件是其投标文件的组成部分。</w:t>
      </w:r>
    </w:p>
    <w:p>
      <w:pPr>
        <w:adjustRightInd w:val="0"/>
        <w:snapToGrid w:val="0"/>
        <w:spacing w:line="360" w:lineRule="auto"/>
        <w:ind w:left="430" w:hanging="430" w:hangingChars="204"/>
        <w:rPr>
          <w:rFonts w:ascii="宋体"/>
          <w:b/>
          <w:color w:val="auto"/>
          <w:szCs w:val="21"/>
          <w:highlight w:val="none"/>
        </w:rPr>
      </w:pPr>
      <w:r>
        <w:rPr>
          <w:rFonts w:hint="eastAsia" w:ascii="宋体" w:hAnsi="宋体"/>
          <w:b/>
          <w:color w:val="auto"/>
          <w:szCs w:val="21"/>
          <w:highlight w:val="none"/>
        </w:rPr>
        <w:t>六、详细评审、比较与评价</w:t>
      </w:r>
    </w:p>
    <w:p>
      <w:pPr>
        <w:adjustRightInd w:val="0"/>
        <w:snapToGrid w:val="0"/>
        <w:spacing w:line="360" w:lineRule="auto"/>
        <w:ind w:left="428" w:hanging="428" w:hangingChars="204"/>
        <w:rPr>
          <w:rFonts w:asci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．详细评审是对通过资格审查和符合性审查的投标进行商务技术和价格的评审。</w:t>
      </w:r>
    </w:p>
    <w:p>
      <w:pPr>
        <w:adjustRightInd w:val="0"/>
        <w:snapToGrid w:val="0"/>
        <w:spacing w:line="360" w:lineRule="auto"/>
        <w:ind w:left="533" w:hanging="533" w:hangingChars="254"/>
        <w:rPr>
          <w:rFonts w:ascii="宋体"/>
          <w:color w:val="auto"/>
          <w:szCs w:val="21"/>
          <w:highlight w:val="none"/>
        </w:rPr>
      </w:pPr>
      <w:r>
        <w:rPr>
          <w:rFonts w:ascii="宋体" w:hAnsi="宋体"/>
          <w:color w:val="auto"/>
          <w:szCs w:val="21"/>
          <w:highlight w:val="none"/>
        </w:rPr>
        <w:t xml:space="preserve">6.1  </w:t>
      </w:r>
      <w:r>
        <w:rPr>
          <w:rFonts w:hint="eastAsia" w:ascii="宋体" w:hAnsi="宋体"/>
          <w:color w:val="auto"/>
          <w:szCs w:val="21"/>
          <w:highlight w:val="none"/>
        </w:rPr>
        <w:t>商务技术评分：按照《技术商务评分表》（附表</w:t>
      </w:r>
      <w:r>
        <w:rPr>
          <w:rFonts w:ascii="宋体" w:hAnsi="宋体"/>
          <w:color w:val="auto"/>
          <w:szCs w:val="21"/>
          <w:highlight w:val="none"/>
        </w:rPr>
        <w:t>2</w:t>
      </w:r>
      <w:r>
        <w:rPr>
          <w:rFonts w:hint="eastAsia" w:ascii="宋体" w:hAnsi="宋体"/>
          <w:color w:val="auto"/>
          <w:szCs w:val="21"/>
          <w:highlight w:val="none"/>
        </w:rPr>
        <w:t>）中各项因素进行评分，评标委员会各成员分别首先就各个投标人的商务技术状况及其对招标文件要求的响应情况进行评议和比较，评出其商务技术评分。各评委评分的算术平均值即为该投标人的商务技术评分。</w:t>
      </w:r>
    </w:p>
    <w:p>
      <w:pPr>
        <w:adjustRightInd w:val="0"/>
        <w:snapToGrid w:val="0"/>
        <w:spacing w:line="360" w:lineRule="auto"/>
        <w:ind w:left="428" w:hanging="428" w:hangingChars="204"/>
        <w:rPr>
          <w:rFonts w:ascii="宋体"/>
          <w:color w:val="auto"/>
          <w:szCs w:val="21"/>
          <w:highlight w:val="none"/>
        </w:rPr>
      </w:pPr>
      <w:r>
        <w:rPr>
          <w:rFonts w:ascii="宋体" w:hAnsi="宋体"/>
          <w:color w:val="auto"/>
          <w:szCs w:val="21"/>
          <w:highlight w:val="none"/>
        </w:rPr>
        <w:t xml:space="preserve">6.2  </w:t>
      </w:r>
      <w:r>
        <w:rPr>
          <w:rFonts w:hint="eastAsia" w:ascii="宋体" w:hAnsi="宋体"/>
          <w:color w:val="auto"/>
          <w:szCs w:val="21"/>
          <w:highlight w:val="none"/>
        </w:rPr>
        <w:t>价格评分：</w:t>
      </w:r>
    </w:p>
    <w:p>
      <w:pPr>
        <w:adjustRightInd w:val="0"/>
        <w:snapToGrid w:val="0"/>
        <w:spacing w:line="360" w:lineRule="auto"/>
        <w:ind w:left="1243" w:leftChars="317" w:hanging="577" w:hangingChars="275"/>
        <w:rPr>
          <w:rFonts w:ascii="宋体"/>
          <w:bCs/>
          <w:color w:val="auto"/>
          <w:highlight w:val="none"/>
        </w:rPr>
      </w:pPr>
      <w:r>
        <w:rPr>
          <w:rFonts w:ascii="宋体" w:hAnsi="宋体"/>
          <w:color w:val="auto"/>
          <w:szCs w:val="21"/>
          <w:highlight w:val="none"/>
        </w:rPr>
        <w:t>6.2.1</w:t>
      </w:r>
      <w:r>
        <w:rPr>
          <w:rFonts w:hint="eastAsia" w:ascii="宋体" w:hAnsi="宋体"/>
          <w:bCs/>
          <w:color w:val="auto"/>
          <w:highlight w:val="none"/>
        </w:rPr>
        <w:t>评标委员会详细分析、核准价格表，检查其是否存在计算上或累加上的算术错误，修正错误的原则详见</w:t>
      </w:r>
      <w:r>
        <w:rPr>
          <w:rFonts w:hint="eastAsia" w:ascii="宋体" w:hAnsi="宋体" w:cs="宋体"/>
          <w:color w:val="auto"/>
          <w:highlight w:val="none"/>
        </w:rPr>
        <w:t>本章第四</w:t>
      </w:r>
      <w:r>
        <w:rPr>
          <w:rFonts w:hint="eastAsia" w:ascii="宋体" w:hAnsi="宋体"/>
          <w:bCs/>
          <w:color w:val="auto"/>
          <w:highlight w:val="none"/>
        </w:rPr>
        <w:t>条</w:t>
      </w:r>
      <w:r>
        <w:rPr>
          <w:rFonts w:ascii="宋体" w:hAnsi="宋体"/>
          <w:bCs/>
          <w:color w:val="auto"/>
          <w:highlight w:val="none"/>
        </w:rPr>
        <w:t>4.5</w:t>
      </w:r>
      <w:r>
        <w:rPr>
          <w:rFonts w:hint="eastAsia" w:ascii="宋体" w:hAnsi="宋体"/>
          <w:bCs/>
          <w:color w:val="auto"/>
          <w:highlight w:val="none"/>
        </w:rPr>
        <w:t>款相关条款。</w:t>
      </w:r>
    </w:p>
    <w:p>
      <w:pPr>
        <w:adjustRightInd w:val="0"/>
        <w:snapToGrid w:val="0"/>
        <w:spacing w:line="360" w:lineRule="auto"/>
        <w:ind w:left="1243" w:leftChars="317" w:hanging="577" w:hangingChars="275"/>
        <w:rPr>
          <w:rFonts w:ascii="宋体"/>
          <w:color w:val="auto"/>
          <w:szCs w:val="21"/>
          <w:highlight w:val="none"/>
        </w:rPr>
      </w:pPr>
      <w:r>
        <w:rPr>
          <w:rFonts w:ascii="宋体" w:hAnsi="宋体"/>
          <w:bCs/>
          <w:color w:val="auto"/>
          <w:highlight w:val="none"/>
        </w:rPr>
        <w:t>6.2.2</w:t>
      </w:r>
      <w:r>
        <w:rPr>
          <w:rFonts w:hint="eastAsia" w:ascii="宋体" w:hAnsi="宋体"/>
          <w:color w:val="auto"/>
          <w:szCs w:val="21"/>
          <w:highlight w:val="none"/>
        </w:rPr>
        <w:t>对小型或微型企业企业产品价格进行价格扣除：</w:t>
      </w:r>
    </w:p>
    <w:p>
      <w:pPr>
        <w:adjustRightInd w:val="0"/>
        <w:snapToGrid w:val="0"/>
        <w:spacing w:line="360" w:lineRule="auto"/>
        <w:ind w:left="1321" w:leftChars="629"/>
        <w:rPr>
          <w:rFonts w:ascii="宋体"/>
          <w:color w:val="auto"/>
          <w:szCs w:val="21"/>
          <w:highlight w:val="none"/>
        </w:rPr>
      </w:pPr>
      <w:r>
        <w:rPr>
          <w:rFonts w:ascii="宋体" w:hAnsi="宋体"/>
          <w:b/>
          <w:color w:val="auto"/>
          <w:szCs w:val="21"/>
          <w:highlight w:val="none"/>
        </w:rPr>
        <w:t>6.2.2.1</w:t>
      </w:r>
      <w:r>
        <w:rPr>
          <w:rFonts w:hint="eastAsia" w:ascii="宋体" w:hAnsi="宋体"/>
          <w:bCs/>
          <w:color w:val="auto"/>
          <w:highlight w:val="none"/>
        </w:rPr>
        <w:t>根据财政部、工业和信息化部印发的《政府采购促进中小企业发展暂行办法》（财库</w:t>
      </w:r>
      <w:r>
        <w:rPr>
          <w:rFonts w:hint="eastAsia" w:ascii="宋体" w:hAnsi="宋体" w:cs="宋体"/>
          <w:color w:val="auto"/>
          <w:highlight w:val="none"/>
        </w:rPr>
        <w:t>〔</w:t>
      </w:r>
      <w:r>
        <w:rPr>
          <w:rFonts w:ascii="宋体" w:hAnsi="宋体" w:cs="宋体"/>
          <w:color w:val="auto"/>
          <w:highlight w:val="none"/>
        </w:rPr>
        <w:t>2011</w:t>
      </w:r>
      <w:r>
        <w:rPr>
          <w:rFonts w:hint="eastAsia" w:ascii="宋体" w:hAnsi="宋体" w:cs="宋体"/>
          <w:color w:val="auto"/>
          <w:highlight w:val="none"/>
        </w:rPr>
        <w:t>〕</w:t>
      </w:r>
      <w:r>
        <w:rPr>
          <w:rFonts w:ascii="宋体" w:hAnsi="宋体"/>
          <w:bCs/>
          <w:color w:val="auto"/>
          <w:highlight w:val="none"/>
        </w:rPr>
        <w:t>181</w:t>
      </w:r>
      <w:r>
        <w:rPr>
          <w:rFonts w:hint="eastAsia" w:ascii="宋体" w:hAnsi="宋体"/>
          <w:bCs/>
          <w:color w:val="auto"/>
          <w:highlight w:val="none"/>
        </w:rPr>
        <w:t>号）的规定，</w:t>
      </w:r>
      <w:r>
        <w:rPr>
          <w:rFonts w:hint="eastAsia" w:ascii="宋体" w:hAnsi="宋体"/>
          <w:color w:val="auto"/>
          <w:szCs w:val="21"/>
          <w:highlight w:val="none"/>
        </w:rPr>
        <w:t>投标人为小型或微型企业（包括成员全部为小型或微型企业的联合体）且投标产品（或服务）含小型或微型企业产品（或服务）时，报价给予</w:t>
      </w:r>
      <w:r>
        <w:rPr>
          <w:rFonts w:ascii="宋体" w:hAnsi="宋体"/>
          <w:color w:val="auto"/>
          <w:szCs w:val="21"/>
          <w:highlight w:val="none"/>
        </w:rPr>
        <w:t>C1</w:t>
      </w:r>
      <w:r>
        <w:rPr>
          <w:rFonts w:hint="eastAsia" w:ascii="宋体" w:hAnsi="宋体"/>
          <w:color w:val="auto"/>
          <w:szCs w:val="21"/>
          <w:highlight w:val="none"/>
        </w:rPr>
        <w:t>的价格扣除（</w:t>
      </w:r>
      <w:r>
        <w:rPr>
          <w:rFonts w:ascii="宋体" w:hAnsi="宋体"/>
          <w:color w:val="auto"/>
          <w:szCs w:val="21"/>
          <w:highlight w:val="none"/>
        </w:rPr>
        <w:t>C1</w:t>
      </w:r>
      <w:r>
        <w:rPr>
          <w:rFonts w:hint="eastAsia" w:ascii="宋体" w:hAnsi="宋体"/>
          <w:color w:val="auto"/>
          <w:szCs w:val="21"/>
          <w:highlight w:val="none"/>
        </w:rPr>
        <w:t>的取值范围为</w:t>
      </w:r>
      <w:r>
        <w:rPr>
          <w:rFonts w:ascii="宋体" w:hAnsi="宋体"/>
          <w:color w:val="auto"/>
          <w:szCs w:val="21"/>
          <w:highlight w:val="none"/>
        </w:rPr>
        <w:t>6%</w:t>
      </w:r>
      <w:r>
        <w:rPr>
          <w:rFonts w:hint="eastAsia" w:ascii="宋体" w:hAnsi="宋体"/>
          <w:color w:val="auto"/>
          <w:szCs w:val="21"/>
          <w:highlight w:val="none"/>
        </w:rPr>
        <w:t>），即：评标价＝核实价－小微企业产品核实价×</w:t>
      </w:r>
      <w:r>
        <w:rPr>
          <w:rFonts w:ascii="宋体" w:hAnsi="宋体"/>
          <w:color w:val="auto"/>
          <w:szCs w:val="21"/>
          <w:highlight w:val="none"/>
        </w:rPr>
        <w:t>C1</w:t>
      </w:r>
      <w:r>
        <w:rPr>
          <w:rFonts w:hint="eastAsia" w:ascii="宋体" w:hAnsi="宋体"/>
          <w:color w:val="auto"/>
          <w:szCs w:val="21"/>
          <w:highlight w:val="none"/>
        </w:rPr>
        <w:t>；（调整后的价格仅作为评标价格，不作为中标价格。若该投标人中标，合同价以其原报价为标准。）</w:t>
      </w:r>
    </w:p>
    <w:p>
      <w:pPr>
        <w:adjustRightInd w:val="0"/>
        <w:snapToGrid w:val="0"/>
        <w:spacing w:line="360" w:lineRule="auto"/>
        <w:ind w:left="1306" w:leftChars="622" w:firstLine="420" w:firstLineChars="200"/>
        <w:rPr>
          <w:rFonts w:ascii="宋体"/>
          <w:color w:val="auto"/>
          <w:szCs w:val="21"/>
          <w:highlight w:val="none"/>
        </w:rPr>
      </w:pPr>
      <w:r>
        <w:rPr>
          <w:rFonts w:hint="eastAsia" w:ascii="宋体" w:hAnsi="宋体"/>
          <w:color w:val="auto"/>
          <w:szCs w:val="21"/>
          <w:highlight w:val="none"/>
        </w:rPr>
        <w:t>投标人为大中型企业和其他自然人、法人或者其他组织与小型、微型企业组成的联合体，且联合体协议中约定小型、微型企业的协议合同金额（必须为小型或微型企业产品）占到联合体协议合同总金额</w:t>
      </w:r>
      <w:r>
        <w:rPr>
          <w:rFonts w:ascii="宋体" w:hAnsi="宋体"/>
          <w:color w:val="auto"/>
          <w:szCs w:val="21"/>
          <w:highlight w:val="none"/>
        </w:rPr>
        <w:t>30%</w:t>
      </w:r>
      <w:r>
        <w:rPr>
          <w:rFonts w:hint="eastAsia" w:ascii="宋体" w:hAnsi="宋体"/>
          <w:color w:val="auto"/>
          <w:szCs w:val="21"/>
          <w:highlight w:val="none"/>
        </w:rPr>
        <w:t>以上的，对联合体报价给予</w:t>
      </w:r>
      <w:r>
        <w:rPr>
          <w:rFonts w:ascii="宋体" w:hAnsi="宋体"/>
          <w:color w:val="auto"/>
          <w:szCs w:val="21"/>
          <w:highlight w:val="none"/>
        </w:rPr>
        <w:t>C2</w:t>
      </w:r>
      <w:r>
        <w:rPr>
          <w:rFonts w:hint="eastAsia" w:ascii="宋体" w:hAnsi="宋体"/>
          <w:color w:val="auto"/>
          <w:szCs w:val="21"/>
          <w:highlight w:val="none"/>
        </w:rPr>
        <w:t>的价格扣除（</w:t>
      </w:r>
      <w:r>
        <w:rPr>
          <w:rFonts w:ascii="宋体" w:hAnsi="宋体"/>
          <w:color w:val="auto"/>
          <w:szCs w:val="21"/>
          <w:highlight w:val="none"/>
        </w:rPr>
        <w:t>C2</w:t>
      </w:r>
      <w:r>
        <w:rPr>
          <w:rFonts w:hint="eastAsia" w:ascii="宋体" w:hAnsi="宋体"/>
          <w:color w:val="auto"/>
          <w:szCs w:val="21"/>
          <w:highlight w:val="none"/>
        </w:rPr>
        <w:t>的取值范围为</w:t>
      </w:r>
      <w:r>
        <w:rPr>
          <w:rFonts w:ascii="宋体" w:hAnsi="宋体"/>
          <w:color w:val="auto"/>
          <w:szCs w:val="21"/>
          <w:highlight w:val="none"/>
        </w:rPr>
        <w:t>2%</w:t>
      </w:r>
      <w:r>
        <w:rPr>
          <w:rFonts w:hint="eastAsia" w:ascii="宋体" w:hAnsi="宋体"/>
          <w:color w:val="auto"/>
          <w:szCs w:val="21"/>
          <w:highlight w:val="none"/>
        </w:rPr>
        <w:t>），即：评标价＝核实价×</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C2)</w:t>
      </w:r>
      <w:r>
        <w:rPr>
          <w:rFonts w:hint="eastAsia" w:ascii="宋体" w:hAnsi="宋体"/>
          <w:color w:val="auto"/>
          <w:szCs w:val="21"/>
          <w:highlight w:val="none"/>
        </w:rPr>
        <w:t>；（调整后的价格仅作为评标价格，不作为中标价格。若该投标人中标，合同价以其原报价为标准。）</w:t>
      </w:r>
    </w:p>
    <w:p>
      <w:pPr>
        <w:adjustRightInd w:val="0"/>
        <w:snapToGrid w:val="0"/>
        <w:spacing w:line="360" w:lineRule="auto"/>
        <w:ind w:left="1201" w:leftChars="572" w:firstLine="420" w:firstLineChars="200"/>
        <w:rPr>
          <w:rFonts w:ascii="宋体"/>
          <w:color w:val="auto"/>
          <w:szCs w:val="21"/>
          <w:highlight w:val="none"/>
        </w:rPr>
      </w:pPr>
      <w:r>
        <w:rPr>
          <w:rFonts w:hint="eastAsia" w:ascii="宋体" w:hAnsi="宋体"/>
          <w:color w:val="auto"/>
          <w:szCs w:val="21"/>
          <w:highlight w:val="none"/>
        </w:rPr>
        <w:t>本条款所称小型或微型企业应当符合以下条件：符合小型或微型企业划分标准，提供本企业制造的货物或者提供其他小型或微型企业制造的货物；本项所称货物不包括使用大型企业注册商标的货物。</w:t>
      </w:r>
    </w:p>
    <w:p>
      <w:pPr>
        <w:adjustRightInd w:val="0"/>
        <w:snapToGrid w:val="0"/>
        <w:spacing w:line="360" w:lineRule="auto"/>
        <w:ind w:left="1201" w:leftChars="572" w:firstLine="420" w:firstLineChars="200"/>
        <w:rPr>
          <w:rFonts w:ascii="宋体"/>
          <w:color w:val="auto"/>
          <w:szCs w:val="21"/>
          <w:highlight w:val="none"/>
        </w:rPr>
      </w:pPr>
      <w:r>
        <w:rPr>
          <w:rFonts w:hint="eastAsia" w:ascii="宋体" w:hAnsi="宋体"/>
          <w:color w:val="auto"/>
          <w:szCs w:val="21"/>
          <w:highlight w:val="none"/>
        </w:rPr>
        <w:t>组成联合体的大中型企业和其他自然人、法人或者其他组织，与小型、微型企业之间不得存在投资关系。</w:t>
      </w:r>
    </w:p>
    <w:p>
      <w:pPr>
        <w:adjustRightInd w:val="0"/>
        <w:snapToGrid w:val="0"/>
        <w:spacing w:line="360" w:lineRule="auto"/>
        <w:rPr>
          <w:rFonts w:ascii="宋体" w:hAnsi="宋体"/>
          <w:color w:val="auto"/>
          <w:szCs w:val="21"/>
          <w:highlight w:val="none"/>
        </w:rPr>
      </w:pPr>
      <w:r>
        <w:rPr>
          <w:rFonts w:ascii="宋体" w:hAnsi="宋体"/>
          <w:b/>
          <w:color w:val="auto"/>
          <w:szCs w:val="21"/>
          <w:highlight w:val="none"/>
        </w:rPr>
        <w:t>6.2.2.2</w:t>
      </w:r>
      <w:r>
        <w:rPr>
          <w:rFonts w:hint="eastAsia" w:ascii="宋体" w:hAnsi="宋体"/>
          <w:color w:val="auto"/>
          <w:szCs w:val="21"/>
          <w:highlight w:val="none"/>
        </w:rPr>
        <w:t>根据财政部印发的《司法部关于政府采购支持监狱企业发展有关问题》的通知（财库〔</w:t>
      </w:r>
      <w:r>
        <w:rPr>
          <w:rFonts w:ascii="宋体" w:hAnsi="宋体"/>
          <w:color w:val="auto"/>
          <w:szCs w:val="21"/>
          <w:highlight w:val="none"/>
        </w:rPr>
        <w:t>2014</w:t>
      </w:r>
      <w:r>
        <w:rPr>
          <w:rFonts w:hint="eastAsia" w:ascii="宋体" w:hAnsi="宋体"/>
          <w:color w:val="auto"/>
          <w:szCs w:val="21"/>
          <w:highlight w:val="none"/>
        </w:rPr>
        <w:t>〕</w:t>
      </w:r>
    </w:p>
    <w:p>
      <w:pPr>
        <w:adjustRightInd w:val="0"/>
        <w:snapToGrid w:val="0"/>
        <w:spacing w:line="360" w:lineRule="auto"/>
        <w:ind w:left="840" w:leftChars="400"/>
        <w:rPr>
          <w:rFonts w:ascii="宋体"/>
          <w:color w:val="auto"/>
          <w:szCs w:val="21"/>
          <w:highlight w:val="none"/>
        </w:rPr>
      </w:pPr>
      <w:r>
        <w:rPr>
          <w:rFonts w:ascii="宋体" w:hAnsi="宋体"/>
          <w:color w:val="auto"/>
          <w:szCs w:val="21"/>
          <w:highlight w:val="none"/>
        </w:rPr>
        <w:t>68</w:t>
      </w:r>
      <w:r>
        <w:rPr>
          <w:rFonts w:hint="eastAsia" w:ascii="宋体" w:hAnsi="宋体"/>
          <w:color w:val="auto"/>
          <w:szCs w:val="21"/>
          <w:highlight w:val="none"/>
        </w:rPr>
        <w:t>号）的规定，支持监狱和戒毒企业（简称“监狱企业”）发展，监狱企业视同小型、微型企业，报价给予</w:t>
      </w:r>
      <w:r>
        <w:rPr>
          <w:rFonts w:ascii="宋体" w:hAnsi="宋体"/>
          <w:color w:val="auto"/>
          <w:szCs w:val="21"/>
          <w:highlight w:val="none"/>
        </w:rPr>
        <w:t>C1</w:t>
      </w:r>
      <w:r>
        <w:rPr>
          <w:rFonts w:hint="eastAsia" w:ascii="宋体" w:hAnsi="宋体"/>
          <w:color w:val="auto"/>
          <w:szCs w:val="21"/>
          <w:highlight w:val="none"/>
        </w:rPr>
        <w:t>的价格扣除（</w:t>
      </w:r>
      <w:r>
        <w:rPr>
          <w:rFonts w:ascii="宋体" w:hAnsi="宋体"/>
          <w:color w:val="auto"/>
          <w:szCs w:val="21"/>
          <w:highlight w:val="none"/>
        </w:rPr>
        <w:t>C1</w:t>
      </w:r>
      <w:r>
        <w:rPr>
          <w:rFonts w:hint="eastAsia" w:ascii="宋体" w:hAnsi="宋体"/>
          <w:color w:val="auto"/>
          <w:szCs w:val="21"/>
          <w:highlight w:val="none"/>
        </w:rPr>
        <w:t>的取值范围为</w:t>
      </w:r>
      <w:r>
        <w:rPr>
          <w:rFonts w:ascii="宋体" w:hAnsi="宋体"/>
          <w:color w:val="auto"/>
          <w:szCs w:val="21"/>
          <w:highlight w:val="none"/>
        </w:rPr>
        <w:t>6%</w:t>
      </w:r>
      <w:r>
        <w:rPr>
          <w:rFonts w:hint="eastAsia" w:ascii="宋体" w:hAnsi="宋体"/>
          <w:color w:val="auto"/>
          <w:szCs w:val="21"/>
          <w:highlight w:val="none"/>
        </w:rPr>
        <w:t>），即：评标价＝核实价－产品核实价×</w:t>
      </w:r>
      <w:r>
        <w:rPr>
          <w:rFonts w:ascii="宋体" w:hAnsi="宋体"/>
          <w:color w:val="auto"/>
          <w:szCs w:val="21"/>
          <w:highlight w:val="none"/>
        </w:rPr>
        <w:t>C1</w:t>
      </w:r>
      <w:r>
        <w:rPr>
          <w:rFonts w:hint="eastAsia" w:ascii="宋体" w:hAnsi="宋体"/>
          <w:color w:val="auto"/>
          <w:szCs w:val="21"/>
          <w:highlight w:val="none"/>
        </w:rPr>
        <w:t>；（调整后的价格仅作为评标价格，不作为中标价格。若该投标人中标，合同价以其原报价为标准。）</w:t>
      </w:r>
    </w:p>
    <w:p>
      <w:pPr>
        <w:adjustRightInd w:val="0"/>
        <w:snapToGrid w:val="0"/>
        <w:spacing w:line="360" w:lineRule="auto"/>
        <w:ind w:left="1256" w:leftChars="598" w:firstLine="420" w:firstLineChars="200"/>
        <w:rPr>
          <w:rFonts w:ascii="宋体"/>
          <w:color w:val="auto"/>
          <w:szCs w:val="21"/>
          <w:highlight w:val="none"/>
        </w:rPr>
      </w:pPr>
      <w:r>
        <w:rPr>
          <w:rFonts w:hint="eastAsia" w:ascii="宋体" w:hAnsi="宋体"/>
          <w:color w:val="auto"/>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left="1151" w:leftChars="548" w:firstLine="525" w:firstLineChars="250"/>
        <w:rPr>
          <w:rFonts w:ascii="宋体"/>
          <w:color w:val="auto"/>
          <w:szCs w:val="21"/>
          <w:highlight w:val="none"/>
        </w:rPr>
      </w:pPr>
      <w:r>
        <w:rPr>
          <w:rFonts w:hint="eastAsia" w:ascii="宋体" w:hAnsi="宋体"/>
          <w:color w:val="auto"/>
          <w:szCs w:val="21"/>
          <w:highlight w:val="none"/>
        </w:rPr>
        <w:t>监狱企业参加政府采购活动时，应当提供由省级以上监狱管理局、戒毒管理局（含新疆生产建设兵团）出具的属于监狱企业的证明文件，否则不予认可。</w:t>
      </w:r>
    </w:p>
    <w:p>
      <w:pPr>
        <w:adjustRightInd w:val="0"/>
        <w:snapToGrid w:val="0"/>
        <w:spacing w:line="360" w:lineRule="auto"/>
        <w:ind w:left="1139" w:leftChars="-60" w:hanging="1265" w:hangingChars="600"/>
        <w:rPr>
          <w:rFonts w:ascii="宋体"/>
          <w:color w:val="auto"/>
          <w:szCs w:val="21"/>
          <w:highlight w:val="none"/>
        </w:rPr>
      </w:pPr>
      <w:r>
        <w:rPr>
          <w:rFonts w:ascii="宋体" w:hAnsi="宋体"/>
          <w:b/>
          <w:color w:val="auto"/>
          <w:szCs w:val="21"/>
          <w:highlight w:val="none"/>
        </w:rPr>
        <w:t>6.2.2.3</w:t>
      </w:r>
      <w:r>
        <w:rPr>
          <w:rFonts w:hint="eastAsia" w:ascii="宋体" w:hAnsi="宋体"/>
          <w:color w:val="auto"/>
          <w:szCs w:val="21"/>
          <w:highlight w:val="none"/>
        </w:rPr>
        <w:t>根据财政部印发的《关于促进残疾人就业政府采购政策的通知》（财库〔</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zCs w:val="21"/>
          <w:highlight w:val="none"/>
        </w:rPr>
        <w:t>号）的规定的供应商，视同小型、微型企业，报价给予</w:t>
      </w:r>
      <w:r>
        <w:rPr>
          <w:rFonts w:ascii="宋体" w:hAnsi="宋体"/>
          <w:color w:val="auto"/>
          <w:szCs w:val="21"/>
          <w:highlight w:val="none"/>
        </w:rPr>
        <w:t>C1</w:t>
      </w:r>
      <w:r>
        <w:rPr>
          <w:rFonts w:hint="eastAsia" w:ascii="宋体" w:hAnsi="宋体"/>
          <w:color w:val="auto"/>
          <w:szCs w:val="21"/>
          <w:highlight w:val="none"/>
        </w:rPr>
        <w:t>的价格扣除（</w:t>
      </w:r>
      <w:r>
        <w:rPr>
          <w:rFonts w:ascii="宋体" w:hAnsi="宋体"/>
          <w:color w:val="auto"/>
          <w:szCs w:val="21"/>
          <w:highlight w:val="none"/>
        </w:rPr>
        <w:t>C1</w:t>
      </w:r>
      <w:r>
        <w:rPr>
          <w:rFonts w:hint="eastAsia" w:ascii="宋体" w:hAnsi="宋体"/>
          <w:color w:val="auto"/>
          <w:szCs w:val="21"/>
          <w:highlight w:val="none"/>
        </w:rPr>
        <w:t>的取值范围为</w:t>
      </w:r>
      <w:r>
        <w:rPr>
          <w:rFonts w:ascii="宋体" w:hAnsi="宋体"/>
          <w:color w:val="auto"/>
          <w:szCs w:val="21"/>
          <w:highlight w:val="none"/>
        </w:rPr>
        <w:t>6%</w:t>
      </w:r>
      <w:r>
        <w:rPr>
          <w:rFonts w:hint="eastAsia" w:ascii="宋体" w:hAnsi="宋体"/>
          <w:color w:val="auto"/>
          <w:szCs w:val="21"/>
          <w:highlight w:val="none"/>
        </w:rPr>
        <w:t>），即：评标价＝核实价－产品核实价×</w:t>
      </w:r>
      <w:r>
        <w:rPr>
          <w:rFonts w:ascii="宋体" w:hAnsi="宋体"/>
          <w:color w:val="auto"/>
          <w:szCs w:val="21"/>
          <w:highlight w:val="none"/>
        </w:rPr>
        <w:t>C1</w:t>
      </w:r>
      <w:r>
        <w:rPr>
          <w:rFonts w:hint="eastAsia" w:ascii="宋体" w:hAnsi="宋体"/>
          <w:color w:val="auto"/>
          <w:szCs w:val="21"/>
          <w:highlight w:val="none"/>
        </w:rPr>
        <w:t>；（调整后的价格仅作为评标价格，不作为中标价格。若该投标人中标，合同价以其原报价为标准。）</w:t>
      </w:r>
    </w:p>
    <w:p>
      <w:pPr>
        <w:adjustRightInd w:val="0"/>
        <w:snapToGrid w:val="0"/>
        <w:spacing w:line="360" w:lineRule="auto"/>
        <w:ind w:left="1134" w:leftChars="540"/>
        <w:rPr>
          <w:rFonts w:ascii="宋体"/>
          <w:color w:val="auto"/>
          <w:szCs w:val="21"/>
          <w:highlight w:val="none"/>
        </w:rPr>
      </w:pPr>
      <w:r>
        <w:rPr>
          <w:rFonts w:ascii="宋体" w:hAnsi="宋体"/>
          <w:color w:val="auto"/>
          <w:szCs w:val="21"/>
          <w:highlight w:val="none"/>
        </w:rPr>
        <w:t>6.2.2.4</w:t>
      </w:r>
      <w:r>
        <w:rPr>
          <w:rFonts w:hint="eastAsia" w:ascii="宋体" w:hAnsi="宋体"/>
          <w:color w:val="auto"/>
          <w:szCs w:val="21"/>
          <w:highlight w:val="none"/>
        </w:rPr>
        <w:t>投标人若同时为中小企业、监狱企业、残疾人福利性单位或其中两种，均只能享受一次价格扣除。</w:t>
      </w:r>
    </w:p>
    <w:p>
      <w:pPr>
        <w:adjustRightInd w:val="0"/>
        <w:snapToGrid w:val="0"/>
        <w:spacing w:line="360" w:lineRule="auto"/>
        <w:ind w:left="1134" w:leftChars="540"/>
        <w:rPr>
          <w:rFonts w:ascii="宋体"/>
          <w:color w:val="auto"/>
          <w:szCs w:val="21"/>
          <w:highlight w:val="none"/>
        </w:rPr>
      </w:pPr>
      <w:r>
        <w:rPr>
          <w:rFonts w:ascii="宋体" w:hAnsi="宋体"/>
          <w:color w:val="auto"/>
          <w:szCs w:val="21"/>
          <w:highlight w:val="none"/>
        </w:rPr>
        <w:t>6.2.2.5</w:t>
      </w:r>
      <w:r>
        <w:rPr>
          <w:rFonts w:hint="eastAsia" w:ascii="宋体" w:hAnsi="宋体"/>
          <w:color w:val="auto"/>
          <w:szCs w:val="21"/>
          <w:highlight w:val="none"/>
        </w:rPr>
        <w:t>中小企业、残疾人福利性单位提供其他企业制造的货物的，则该货物的制造商也必须为上述企业，否则不能享受相应的价格扣除。</w:t>
      </w:r>
    </w:p>
    <w:p>
      <w:pPr>
        <w:adjustRightInd w:val="0"/>
        <w:snapToGrid w:val="0"/>
        <w:spacing w:line="360" w:lineRule="auto"/>
        <w:ind w:left="1243" w:leftChars="550" w:hanging="88" w:hangingChars="42"/>
        <w:rPr>
          <w:rFonts w:ascii="宋体"/>
          <w:color w:val="auto"/>
          <w:szCs w:val="21"/>
          <w:highlight w:val="none"/>
        </w:rPr>
      </w:pPr>
      <w:r>
        <w:rPr>
          <w:rFonts w:ascii="宋体" w:hAnsi="宋体"/>
          <w:color w:val="auto"/>
          <w:szCs w:val="21"/>
          <w:highlight w:val="none"/>
        </w:rPr>
        <w:t>6.2.2.6</w:t>
      </w:r>
      <w:r>
        <w:rPr>
          <w:rFonts w:hint="eastAsia" w:ascii="宋体" w:hAnsi="宋体"/>
          <w:color w:val="auto"/>
          <w:szCs w:val="21"/>
          <w:highlight w:val="none"/>
        </w:rPr>
        <w:t>中小企业声明函注意事项：</w:t>
      </w:r>
    </w:p>
    <w:p>
      <w:pPr>
        <w:adjustRightInd w:val="0"/>
        <w:snapToGrid w:val="0"/>
        <w:spacing w:line="360" w:lineRule="auto"/>
        <w:ind w:left="1575" w:leftChars="500" w:hanging="525" w:hangingChars="2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）投标人的投标文件中未提供《中小企业声明函》的，视为非中小企业不能享受相应的价格扣除，但不会取消该投标人的投标资格。</w:t>
      </w:r>
    </w:p>
    <w:p>
      <w:pPr>
        <w:adjustRightInd w:val="0"/>
        <w:snapToGrid w:val="0"/>
        <w:spacing w:line="360" w:lineRule="auto"/>
        <w:ind w:left="1575" w:leftChars="500" w:hanging="525" w:hangingChars="2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）投标人在此声明函未填写“中型、小型、微型”其中之一的，将视为非中小企业，不能享受相应的价格扣除。</w:t>
      </w:r>
    </w:p>
    <w:p>
      <w:pPr>
        <w:adjustRightInd w:val="0"/>
        <w:snapToGrid w:val="0"/>
        <w:spacing w:line="360" w:lineRule="auto"/>
        <w:ind w:left="1575" w:leftChars="500" w:hanging="525" w:hangingChars="2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提供其他制造商（生产厂家）制作的货物投标，需要同时提供《中小企业声明函》及《中小微企业声明函（制造商）（其中《中小企业声明函》加盖投标人公章，《中小微企业声明函（制造商）》加盖制造商公章），中小企业优惠标准以制造商企业类型为准。具有多个制造商的货物须提供相应制造商的《中小微企业声明函（制造商）》。提供资料不齐全的视为非中小企业。</w:t>
      </w:r>
    </w:p>
    <w:p>
      <w:pPr>
        <w:adjustRightInd w:val="0"/>
        <w:snapToGrid w:val="0"/>
        <w:spacing w:line="360" w:lineRule="auto"/>
        <w:ind w:left="1260" w:leftChars="550" w:hanging="105" w:hangingChars="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）投标人提供自己制造的货物投标，则提供《中小企业声明函》。</w:t>
      </w:r>
    </w:p>
    <w:p>
      <w:pPr>
        <w:spacing w:line="520" w:lineRule="exact"/>
        <w:rPr>
          <w:rFonts w:ascii="宋体"/>
          <w:color w:val="auto"/>
          <w:highlight w:val="none"/>
        </w:rPr>
      </w:pPr>
      <w:r>
        <w:rPr>
          <w:rFonts w:ascii="宋体" w:hAnsi="宋体"/>
          <w:color w:val="auto"/>
          <w:szCs w:val="21"/>
          <w:highlight w:val="none"/>
        </w:rPr>
        <w:t xml:space="preserve">6.3 </w:t>
      </w:r>
      <w:r>
        <w:rPr>
          <w:rFonts w:hint="eastAsia" w:ascii="宋体" w:hAnsi="宋体"/>
          <w:color w:val="auto"/>
          <w:szCs w:val="21"/>
          <w:highlight w:val="none"/>
        </w:rPr>
        <w:t>价格评分：</w:t>
      </w:r>
      <w:r>
        <w:rPr>
          <w:rFonts w:hint="eastAsia" w:ascii="宋体" w:hAnsi="宋体"/>
          <w:color w:val="auto"/>
          <w:szCs w:val="30"/>
          <w:highlight w:val="none"/>
        </w:rPr>
        <w:t>满足招标文件要求且投标价格最低的投标报价为评标基准价，其价格分为满分</w:t>
      </w:r>
      <w:r>
        <w:rPr>
          <w:rFonts w:hint="eastAsia" w:ascii="宋体" w:hAnsi="宋体"/>
          <w:color w:val="auto"/>
          <w:szCs w:val="30"/>
          <w:highlight w:val="none"/>
          <w:lang w:val="en-US" w:eastAsia="zh-CN"/>
        </w:rPr>
        <w:t>2</w:t>
      </w:r>
      <w:r>
        <w:rPr>
          <w:rFonts w:hint="eastAsia" w:ascii="宋体" w:hAnsi="宋体"/>
          <w:color w:val="auto"/>
          <w:szCs w:val="30"/>
          <w:highlight w:val="none"/>
        </w:rPr>
        <w:t>0。其他投标人的价格分统一按照下列公式计算：</w:t>
      </w:r>
    </w:p>
    <w:p>
      <w:pPr>
        <w:spacing w:line="520" w:lineRule="exact"/>
        <w:ind w:left="840"/>
        <w:jc w:val="center"/>
        <w:rPr>
          <w:rFonts w:ascii="宋体"/>
          <w:b/>
          <w:color w:val="auto"/>
          <w:szCs w:val="30"/>
          <w:highlight w:val="none"/>
        </w:rPr>
      </w:pPr>
      <w:r>
        <w:rPr>
          <w:rFonts w:hint="eastAsia" w:ascii="宋体" w:hAnsi="宋体"/>
          <w:b/>
          <w:color w:val="auto"/>
          <w:szCs w:val="30"/>
          <w:highlight w:val="none"/>
        </w:rPr>
        <w:t>投标报价得分（精确到小数点后</w:t>
      </w:r>
      <w:r>
        <w:rPr>
          <w:rFonts w:ascii="宋体" w:hAnsi="宋体"/>
          <w:b/>
          <w:color w:val="auto"/>
          <w:szCs w:val="30"/>
          <w:highlight w:val="none"/>
        </w:rPr>
        <w:t>2</w:t>
      </w:r>
      <w:r>
        <w:rPr>
          <w:rFonts w:hint="eastAsia" w:ascii="宋体" w:hAnsi="宋体"/>
          <w:b/>
          <w:color w:val="auto"/>
          <w:szCs w:val="30"/>
          <w:highlight w:val="none"/>
        </w:rPr>
        <w:t>位）</w:t>
      </w:r>
      <w:r>
        <w:rPr>
          <w:rFonts w:ascii="宋体" w:hAnsi="宋体"/>
          <w:b/>
          <w:color w:val="auto"/>
          <w:szCs w:val="30"/>
          <w:highlight w:val="none"/>
        </w:rPr>
        <w:t>=(</w:t>
      </w:r>
      <w:r>
        <w:rPr>
          <w:rFonts w:hint="eastAsia" w:ascii="宋体" w:hAnsi="宋体"/>
          <w:b/>
          <w:color w:val="auto"/>
          <w:szCs w:val="30"/>
          <w:highlight w:val="none"/>
        </w:rPr>
        <w:t>评标基准价／投标报价</w:t>
      </w:r>
      <w:r>
        <w:rPr>
          <w:rFonts w:ascii="宋体" w:hAnsi="宋体"/>
          <w:b/>
          <w:color w:val="auto"/>
          <w:szCs w:val="30"/>
          <w:highlight w:val="none"/>
        </w:rPr>
        <w:t>)</w:t>
      </w:r>
      <w:r>
        <w:rPr>
          <w:rFonts w:hint="eastAsia" w:ascii="宋体" w:hAnsi="宋体"/>
          <w:b/>
          <w:color w:val="auto"/>
          <w:szCs w:val="30"/>
          <w:highlight w:val="none"/>
        </w:rPr>
        <w:t>×</w:t>
      </w:r>
      <w:r>
        <w:rPr>
          <w:rFonts w:hint="eastAsia" w:ascii="宋体" w:hAnsi="宋体"/>
          <w:b/>
          <w:color w:val="auto"/>
          <w:szCs w:val="30"/>
          <w:highlight w:val="none"/>
          <w:lang w:val="en-US" w:eastAsia="zh-CN"/>
        </w:rPr>
        <w:t>2</w:t>
      </w:r>
      <w:r>
        <w:rPr>
          <w:rFonts w:hint="eastAsia" w:ascii="宋体" w:hAnsi="宋体"/>
          <w:b/>
          <w:color w:val="auto"/>
          <w:szCs w:val="30"/>
          <w:highlight w:val="none"/>
        </w:rPr>
        <w:t>0</w:t>
      </w:r>
    </w:p>
    <w:p>
      <w:pPr>
        <w:adjustRightInd w:val="0"/>
        <w:snapToGrid w:val="0"/>
        <w:spacing w:line="360" w:lineRule="auto"/>
        <w:ind w:left="533" w:hanging="533" w:hangingChars="254"/>
        <w:rPr>
          <w:rFonts w:ascii="宋体"/>
          <w:color w:val="auto"/>
          <w:szCs w:val="21"/>
          <w:highlight w:val="none"/>
        </w:rPr>
      </w:pPr>
    </w:p>
    <w:p>
      <w:pPr>
        <w:adjustRightInd w:val="0"/>
        <w:snapToGrid w:val="0"/>
        <w:spacing w:line="360" w:lineRule="auto"/>
        <w:ind w:left="533" w:hanging="533" w:hangingChars="254"/>
        <w:rPr>
          <w:rFonts w:ascii="宋体"/>
          <w:color w:val="auto"/>
          <w:szCs w:val="21"/>
          <w:highlight w:val="none"/>
        </w:rPr>
      </w:pPr>
      <w:r>
        <w:rPr>
          <w:rFonts w:ascii="宋体" w:hAnsi="宋体"/>
          <w:color w:val="auto"/>
          <w:szCs w:val="21"/>
          <w:highlight w:val="none"/>
        </w:rPr>
        <w:t xml:space="preserve">6.4 </w:t>
      </w:r>
      <w:r>
        <w:rPr>
          <w:rFonts w:hint="eastAsia" w:ascii="宋体" w:hAnsi="宋体"/>
          <w:color w:val="auto"/>
          <w:szCs w:val="21"/>
          <w:highlight w:val="none"/>
        </w:rPr>
        <w:t>评分分配</w:t>
      </w:r>
    </w:p>
    <w:p>
      <w:pPr>
        <w:adjustRightInd w:val="0"/>
        <w:snapToGrid w:val="0"/>
        <w:spacing w:line="360" w:lineRule="auto"/>
        <w:ind w:left="533" w:hanging="533" w:hangingChars="254"/>
        <w:rPr>
          <w:rFonts w:ascii="宋体"/>
          <w:color w:val="auto"/>
          <w:szCs w:val="21"/>
          <w:highlight w:val="none"/>
        </w:rPr>
      </w:pPr>
    </w:p>
    <w:tbl>
      <w:tblPr>
        <w:tblStyle w:val="55"/>
        <w:tblW w:w="7785" w:type="dxa"/>
        <w:jc w:val="center"/>
        <w:tblInd w:w="-90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15"/>
        <w:gridCol w:w="3075"/>
        <w:gridCol w:w="15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3115" w:type="dxa"/>
            <w:vAlign w:val="center"/>
          </w:tcPr>
          <w:p>
            <w:pPr>
              <w:spacing w:line="360" w:lineRule="auto"/>
              <w:jc w:val="center"/>
              <w:rPr>
                <w:rFonts w:ascii="宋体" w:cs="宋体"/>
                <w:b/>
                <w:color w:val="auto"/>
                <w:szCs w:val="21"/>
                <w:highlight w:val="none"/>
              </w:rPr>
            </w:pPr>
            <w:r>
              <w:rPr>
                <w:rFonts w:hint="eastAsia" w:ascii="宋体" w:hAnsi="宋体" w:cs="宋体"/>
                <w:b/>
                <w:color w:val="auto"/>
                <w:szCs w:val="21"/>
                <w:highlight w:val="none"/>
              </w:rPr>
              <w:t>评分项目</w:t>
            </w:r>
          </w:p>
        </w:tc>
        <w:tc>
          <w:tcPr>
            <w:tcW w:w="3075" w:type="dxa"/>
            <w:tcBorders>
              <w:right w:val="single" w:color="auto" w:sz="4" w:space="0"/>
            </w:tcBorders>
            <w:vAlign w:val="center"/>
          </w:tcPr>
          <w:p>
            <w:pPr>
              <w:spacing w:line="360" w:lineRule="auto"/>
              <w:jc w:val="center"/>
              <w:rPr>
                <w:rFonts w:ascii="宋体" w:cs="宋体"/>
                <w:b/>
                <w:color w:val="auto"/>
                <w:szCs w:val="21"/>
                <w:highlight w:val="none"/>
              </w:rPr>
            </w:pPr>
            <w:r>
              <w:rPr>
                <w:rFonts w:hint="eastAsia" w:ascii="宋体" w:hAnsi="宋体" w:cs="宋体"/>
                <w:b/>
                <w:color w:val="auto"/>
                <w:szCs w:val="21"/>
                <w:highlight w:val="none"/>
              </w:rPr>
              <w:t>商务技术评分F</w:t>
            </w:r>
            <w:r>
              <w:rPr>
                <w:rFonts w:ascii="宋体" w:hAnsi="宋体" w:cs="宋体"/>
                <w:b/>
                <w:color w:val="auto"/>
                <w:szCs w:val="21"/>
                <w:highlight w:val="none"/>
              </w:rPr>
              <w:t>1</w:t>
            </w:r>
          </w:p>
        </w:tc>
        <w:tc>
          <w:tcPr>
            <w:tcW w:w="1595" w:type="dxa"/>
            <w:tcBorders>
              <w:left w:val="single" w:color="auto" w:sz="4" w:space="0"/>
            </w:tcBorders>
            <w:vAlign w:val="center"/>
          </w:tcPr>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价格评分F</w:t>
            </w:r>
            <w:r>
              <w:rPr>
                <w:rFonts w:ascii="宋体" w:hAnsi="宋体" w:cs="宋体"/>
                <w:b/>
                <w:color w:val="auto"/>
                <w:szCs w:val="21"/>
                <w:highlight w:val="none"/>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3115"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得分（F</w:t>
            </w:r>
            <w:r>
              <w:rPr>
                <w:rFonts w:ascii="宋体" w:hAnsi="宋体" w:cs="宋体"/>
                <w:color w:val="auto"/>
                <w:szCs w:val="21"/>
                <w:highlight w:val="none"/>
              </w:rPr>
              <w:t>1+</w:t>
            </w:r>
            <w:r>
              <w:rPr>
                <w:rFonts w:hint="eastAsia" w:ascii="宋体" w:hAnsi="宋体" w:cs="宋体"/>
                <w:color w:val="auto"/>
                <w:szCs w:val="21"/>
                <w:highlight w:val="none"/>
              </w:rPr>
              <w:t>F</w:t>
            </w: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=100</w:t>
            </w:r>
          </w:p>
        </w:tc>
        <w:tc>
          <w:tcPr>
            <w:tcW w:w="3075" w:type="dxa"/>
            <w:tcBorders>
              <w:right w:val="single" w:color="auto" w:sz="4" w:space="0"/>
            </w:tcBorders>
            <w:vAlign w:val="center"/>
          </w:tcPr>
          <w:p>
            <w:pPr>
              <w:spacing w:line="360" w:lineRule="auto"/>
              <w:jc w:val="center"/>
              <w:rPr>
                <w:rFonts w:hint="default" w:ascii="宋体" w:eastAsia="宋体" w:cs="宋体"/>
                <w:color w:val="auto"/>
                <w:szCs w:val="21"/>
                <w:highlight w:val="none"/>
                <w:lang w:val="en-US" w:eastAsia="zh-CN"/>
              </w:rPr>
            </w:pPr>
            <w:r>
              <w:rPr>
                <w:rFonts w:hint="eastAsia" w:ascii="宋体" w:hAnsi="宋体" w:cs="宋体"/>
                <w:color w:val="auto"/>
                <w:szCs w:val="21"/>
                <w:highlight w:val="none"/>
                <w:lang w:val="en-US" w:eastAsia="zh-CN"/>
              </w:rPr>
              <w:t>80</w:t>
            </w:r>
          </w:p>
        </w:tc>
        <w:tc>
          <w:tcPr>
            <w:tcW w:w="1595" w:type="dxa"/>
            <w:tcBorders>
              <w:left w:val="single" w:color="auto" w:sz="4" w:space="0"/>
            </w:tcBorders>
            <w:vAlign w:val="center"/>
          </w:tcPr>
          <w:p>
            <w:pPr>
              <w:spacing w:line="360" w:lineRule="auto"/>
              <w:jc w:val="center"/>
              <w:rPr>
                <w:rFonts w:hint="default" w:asci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r>
    </w:tbl>
    <w:p>
      <w:pPr>
        <w:adjustRightInd w:val="0"/>
        <w:snapToGrid w:val="0"/>
        <w:spacing w:line="360" w:lineRule="auto"/>
        <w:ind w:left="428" w:hanging="428" w:hangingChars="204"/>
        <w:rPr>
          <w:rFonts w:ascii="宋体" w:hAnsi="宋体"/>
          <w:color w:val="auto"/>
          <w:szCs w:val="21"/>
          <w:highlight w:val="none"/>
        </w:rPr>
      </w:pPr>
      <w:r>
        <w:rPr>
          <w:rFonts w:hint="eastAsia" w:ascii="宋体" w:hAnsi="宋体"/>
          <w:color w:val="auto"/>
          <w:szCs w:val="21"/>
          <w:highlight w:val="none"/>
        </w:rPr>
        <w:t xml:space="preserve"> 项目总得分=F1+F2</w:t>
      </w:r>
    </w:p>
    <w:p>
      <w:pPr>
        <w:adjustRightInd w:val="0"/>
        <w:snapToGrid w:val="0"/>
        <w:spacing w:line="360" w:lineRule="auto"/>
        <w:ind w:left="428" w:hanging="428" w:hangingChars="204"/>
        <w:rPr>
          <w:rFonts w:ascii="宋体"/>
          <w:color w:val="auto"/>
          <w:highlight w:val="none"/>
        </w:rPr>
      </w:pPr>
      <w:r>
        <w:rPr>
          <w:rFonts w:ascii="宋体" w:hAnsi="宋体"/>
          <w:color w:val="auto"/>
          <w:szCs w:val="21"/>
          <w:highlight w:val="none"/>
        </w:rPr>
        <w:t>6.5</w:t>
      </w:r>
      <w:r>
        <w:rPr>
          <w:rFonts w:hint="eastAsia" w:ascii="宋体" w:hAnsi="宋体"/>
          <w:color w:val="auto"/>
          <w:szCs w:val="21"/>
          <w:highlight w:val="none"/>
        </w:rPr>
        <w:t>评标委员会将出具评标报告，并按综合得分由高到低排序，推荐三名中标候选人，评标总得分相同的，按下列顺序比较确定：</w:t>
      </w: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）投标报价（由低到高）。（</w:t>
      </w:r>
      <w:r>
        <w:rPr>
          <w:rFonts w:ascii="宋体" w:hAnsi="宋体"/>
          <w:color w:val="auto"/>
          <w:highlight w:val="none"/>
        </w:rPr>
        <w:t>2</w:t>
      </w:r>
      <w:r>
        <w:rPr>
          <w:rFonts w:hint="eastAsia" w:ascii="宋体" w:hAnsi="宋体"/>
          <w:color w:val="auto"/>
          <w:highlight w:val="none"/>
        </w:rPr>
        <w:t>）技术得分高优先。</w:t>
      </w:r>
    </w:p>
    <w:p>
      <w:pPr>
        <w:adjustRightInd w:val="0"/>
        <w:snapToGrid w:val="0"/>
        <w:spacing w:line="360" w:lineRule="auto"/>
        <w:ind w:left="430" w:hanging="430" w:hangingChars="204"/>
        <w:rPr>
          <w:rFonts w:ascii="宋体"/>
          <w:b/>
          <w:color w:val="auto"/>
          <w:szCs w:val="21"/>
          <w:highlight w:val="none"/>
        </w:rPr>
      </w:pPr>
      <w:r>
        <w:rPr>
          <w:rFonts w:hint="eastAsia" w:ascii="宋体" w:hAnsi="宋体"/>
          <w:b/>
          <w:color w:val="auto"/>
          <w:szCs w:val="21"/>
          <w:highlight w:val="none"/>
        </w:rPr>
        <w:t>七、废标</w:t>
      </w:r>
    </w:p>
    <w:p>
      <w:pPr>
        <w:adjustRightInd w:val="0"/>
        <w:snapToGrid w:val="0"/>
        <w:spacing w:line="360" w:lineRule="auto"/>
        <w:ind w:left="428" w:hanging="428" w:hangingChars="204"/>
        <w:rPr>
          <w:rFonts w:ascii="宋体"/>
          <w:color w:val="auto"/>
          <w:szCs w:val="21"/>
          <w:highlight w:val="none"/>
        </w:rPr>
      </w:pPr>
      <w:r>
        <w:rPr>
          <w:rFonts w:ascii="宋体" w:hAnsi="宋体"/>
          <w:color w:val="auto"/>
          <w:szCs w:val="21"/>
          <w:highlight w:val="none"/>
        </w:rPr>
        <w:t>7.1</w:t>
      </w:r>
      <w:r>
        <w:rPr>
          <w:rFonts w:hint="eastAsia" w:ascii="宋体" w:hAnsi="宋体"/>
          <w:color w:val="auto"/>
          <w:szCs w:val="21"/>
          <w:highlight w:val="none"/>
        </w:rPr>
        <w:t>在招标采购中，出现下列情形之一的，应予废标：</w:t>
      </w:r>
    </w:p>
    <w:p>
      <w:pPr>
        <w:adjustRightInd w:val="0"/>
        <w:snapToGrid w:val="0"/>
        <w:spacing w:line="360" w:lineRule="auto"/>
        <w:ind w:left="472" w:leftChars="171" w:hanging="113" w:hangingChars="54"/>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）符合专业条件的投标人或者对招标文件作实质性响应的投标人不足三家的；</w:t>
      </w:r>
    </w:p>
    <w:p>
      <w:pPr>
        <w:adjustRightInd w:val="0"/>
        <w:snapToGrid w:val="0"/>
        <w:spacing w:line="360" w:lineRule="auto"/>
        <w:ind w:left="472" w:leftChars="171" w:hanging="113" w:hangingChars="54"/>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）出现影响采购、招标投标公正的违法、违规行为的；</w:t>
      </w:r>
    </w:p>
    <w:p>
      <w:pPr>
        <w:adjustRightInd w:val="0"/>
        <w:snapToGrid w:val="0"/>
        <w:spacing w:line="360" w:lineRule="auto"/>
        <w:ind w:left="472" w:leftChars="171" w:hanging="113" w:hangingChars="54"/>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）投标人的报价均超过了采购预算，采购人不能支付的；</w:t>
      </w:r>
    </w:p>
    <w:p>
      <w:pPr>
        <w:adjustRightInd w:val="0"/>
        <w:snapToGrid w:val="0"/>
        <w:spacing w:line="360" w:lineRule="auto"/>
        <w:ind w:left="472" w:leftChars="171" w:hanging="113" w:hangingChars="54"/>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）因重大变故，本次采购任务取消的。</w:t>
      </w:r>
    </w:p>
    <w:p>
      <w:pPr>
        <w:adjustRightInd w:val="0"/>
        <w:snapToGrid w:val="0"/>
        <w:spacing w:line="360" w:lineRule="auto"/>
        <w:ind w:left="430" w:hanging="430" w:hangingChars="204"/>
        <w:rPr>
          <w:rFonts w:ascii="宋体"/>
          <w:b/>
          <w:color w:val="auto"/>
          <w:szCs w:val="21"/>
          <w:highlight w:val="none"/>
        </w:rPr>
      </w:pPr>
      <w:r>
        <w:rPr>
          <w:rFonts w:hint="eastAsia" w:ascii="宋体" w:hAnsi="宋体"/>
          <w:b/>
          <w:color w:val="auto"/>
          <w:szCs w:val="21"/>
          <w:highlight w:val="none"/>
        </w:rPr>
        <w:t>八、公开招标失败后的处理</w:t>
      </w:r>
    </w:p>
    <w:p>
      <w:pPr>
        <w:adjustRightInd w:val="0"/>
        <w:snapToGrid w:val="0"/>
        <w:spacing w:line="360" w:lineRule="auto"/>
        <w:ind w:left="477" w:hanging="476" w:hangingChars="227"/>
        <w:rPr>
          <w:rFonts w:ascii="宋体"/>
          <w:color w:val="auto"/>
          <w:szCs w:val="21"/>
          <w:highlight w:val="none"/>
        </w:rPr>
      </w:pPr>
      <w:r>
        <w:rPr>
          <w:rFonts w:ascii="宋体" w:hAnsi="宋体"/>
          <w:color w:val="auto"/>
          <w:szCs w:val="21"/>
          <w:highlight w:val="none"/>
        </w:rPr>
        <w:t xml:space="preserve">8.1  </w:t>
      </w:r>
      <w:r>
        <w:rPr>
          <w:rFonts w:hint="eastAsia" w:ascii="宋体" w:hAnsi="宋体"/>
          <w:color w:val="auto"/>
          <w:szCs w:val="21"/>
          <w:highlight w:val="none"/>
        </w:rPr>
        <w:t>如果开标当天，符合专业条件的供应商或者对招标文件作实质响应的供应商不足三家的，有以下两种处理方式：</w:t>
      </w:r>
    </w:p>
    <w:p>
      <w:pPr>
        <w:adjustRightInd w:val="0"/>
        <w:snapToGrid w:val="0"/>
        <w:spacing w:line="360" w:lineRule="auto"/>
        <w:ind w:left="478" w:leftChars="202" w:hanging="54" w:hangingChars="2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）本项目将废标，然后重新组织采购。</w:t>
      </w:r>
    </w:p>
    <w:p>
      <w:pPr>
        <w:adjustRightInd w:val="0"/>
        <w:snapToGrid w:val="0"/>
        <w:spacing w:line="360" w:lineRule="auto"/>
        <w:ind w:left="1001" w:leftChars="202" w:hanging="577" w:hangingChars="275"/>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）本项目将废标，若本项目征得政府采购监督管理部门同意，可变更采购方式的，按照变更后的采购方式进行采购。</w:t>
      </w:r>
    </w:p>
    <w:p>
      <w:pPr>
        <w:adjustRightInd w:val="0"/>
        <w:snapToGrid w:val="0"/>
        <w:spacing w:line="360" w:lineRule="auto"/>
        <w:ind w:left="430" w:hanging="430" w:hangingChars="204"/>
        <w:rPr>
          <w:rFonts w:ascii="宋体"/>
          <w:b/>
          <w:color w:val="auto"/>
          <w:szCs w:val="21"/>
          <w:highlight w:val="none"/>
        </w:rPr>
      </w:pPr>
      <w:r>
        <w:rPr>
          <w:rFonts w:hint="eastAsia" w:ascii="宋体" w:hAnsi="宋体"/>
          <w:b/>
          <w:color w:val="auto"/>
          <w:szCs w:val="21"/>
          <w:highlight w:val="none"/>
        </w:rPr>
        <w:t>九、授标与定标原则</w:t>
      </w:r>
    </w:p>
    <w:p>
      <w:pPr>
        <w:adjustRightInd w:val="0"/>
        <w:snapToGrid w:val="0"/>
        <w:spacing w:line="360" w:lineRule="auto"/>
        <w:ind w:left="477" w:hanging="476" w:hangingChars="227"/>
        <w:rPr>
          <w:rFonts w:ascii="宋体"/>
          <w:color w:val="auto"/>
          <w:szCs w:val="21"/>
          <w:highlight w:val="none"/>
        </w:rPr>
      </w:pPr>
      <w:r>
        <w:rPr>
          <w:rFonts w:ascii="宋体" w:hAnsi="宋体"/>
          <w:color w:val="auto"/>
          <w:szCs w:val="21"/>
          <w:highlight w:val="none"/>
        </w:rPr>
        <w:t xml:space="preserve">9.1  </w:t>
      </w:r>
      <w:r>
        <w:rPr>
          <w:rFonts w:hint="eastAsia" w:ascii="宋体" w:hAnsi="宋体"/>
          <w:color w:val="auto"/>
          <w:szCs w:val="21"/>
          <w:highlight w:val="none"/>
        </w:rPr>
        <w:t>评标委员会按照招标文件中确定的评标方法、步骤、标准，对投标文件进行评审，提出书面评标报告。</w:t>
      </w:r>
    </w:p>
    <w:p>
      <w:pPr>
        <w:tabs>
          <w:tab w:val="left" w:pos="425"/>
          <w:tab w:val="left" w:pos="567"/>
        </w:tabs>
        <w:autoSpaceDE w:val="0"/>
        <w:autoSpaceDN w:val="0"/>
        <w:adjustRightInd w:val="0"/>
        <w:snapToGrid w:val="0"/>
        <w:spacing w:line="360" w:lineRule="auto"/>
        <w:ind w:left="525" w:hanging="525" w:hangingChars="250"/>
        <w:rPr>
          <w:rFonts w:ascii="宋体"/>
          <w:color w:val="auto"/>
          <w:szCs w:val="21"/>
          <w:highlight w:val="none"/>
        </w:rPr>
      </w:pPr>
      <w:r>
        <w:rPr>
          <w:rFonts w:ascii="宋体" w:hAnsi="宋体"/>
          <w:color w:val="auto"/>
          <w:szCs w:val="21"/>
          <w:highlight w:val="none"/>
        </w:rPr>
        <w:t xml:space="preserve">9.2  </w:t>
      </w:r>
      <w:r>
        <w:rPr>
          <w:rFonts w:hint="eastAsia" w:ascii="宋体" w:hAnsi="宋体"/>
          <w:color w:val="auto"/>
          <w:szCs w:val="21"/>
          <w:highlight w:val="none"/>
        </w:rPr>
        <w:t>政府采购代理机构应当在评标结束后</w:t>
      </w:r>
      <w:r>
        <w:rPr>
          <w:rFonts w:ascii="宋体" w:hAnsi="宋体"/>
          <w:color w:val="auto"/>
          <w:szCs w:val="21"/>
          <w:highlight w:val="none"/>
        </w:rPr>
        <w:t>2</w:t>
      </w:r>
      <w:r>
        <w:rPr>
          <w:rFonts w:hint="eastAsia" w:ascii="宋体" w:hAnsi="宋体"/>
          <w:color w:val="auto"/>
          <w:szCs w:val="21"/>
          <w:highlight w:val="none"/>
        </w:rPr>
        <w:t>个工作日内将评标报告送采购人，采购人应当自收到评标报告</w:t>
      </w:r>
      <w:r>
        <w:rPr>
          <w:rFonts w:ascii="宋体" w:hAnsi="宋体"/>
          <w:color w:val="auto"/>
          <w:szCs w:val="21"/>
          <w:highlight w:val="none"/>
        </w:rPr>
        <w:t>5</w:t>
      </w:r>
      <w:r>
        <w:rPr>
          <w:rFonts w:hint="eastAsia" w:ascii="宋体" w:hAnsi="宋体"/>
          <w:color w:val="auto"/>
          <w:szCs w:val="21"/>
          <w:highlight w:val="none"/>
        </w:rPr>
        <w:t>个工作日内，在评标报告确定的中标候选人名单中按顺序确定中标人，也可以事先授权评标委员会直接确定中标人。</w:t>
      </w:r>
    </w:p>
    <w:p>
      <w:pPr>
        <w:adjustRightInd w:val="0"/>
        <w:snapToGrid w:val="0"/>
        <w:spacing w:line="360" w:lineRule="auto"/>
        <w:ind w:left="351" w:hanging="350" w:hangingChars="167"/>
        <w:rPr>
          <w:rFonts w:ascii="宋体"/>
          <w:color w:val="auto"/>
          <w:szCs w:val="21"/>
          <w:highlight w:val="none"/>
        </w:rPr>
      </w:pPr>
    </w:p>
    <w:p>
      <w:pPr>
        <w:adjustRightInd w:val="0"/>
        <w:snapToGrid w:val="0"/>
        <w:spacing w:line="360" w:lineRule="auto"/>
        <w:ind w:left="428" w:hanging="428" w:hangingChars="204"/>
        <w:rPr>
          <w:rFonts w:ascii="宋体" w:cs="宋体"/>
          <w:color w:val="auto"/>
          <w:szCs w:val="21"/>
          <w:highlight w:val="none"/>
        </w:rPr>
      </w:pPr>
      <w:r>
        <w:rPr>
          <w:rFonts w:ascii="宋体" w:cs="宋体"/>
          <w:color w:val="auto"/>
          <w:szCs w:val="21"/>
          <w:highlight w:val="none"/>
        </w:rPr>
        <w:br w:type="page"/>
      </w:r>
      <w:r>
        <w:rPr>
          <w:rFonts w:hint="eastAsia" w:ascii="宋体" w:hAnsi="宋体" w:cs="宋体"/>
          <w:b/>
          <w:color w:val="auto"/>
          <w:szCs w:val="21"/>
          <w:highlight w:val="none"/>
        </w:rPr>
        <w:t>附表</w:t>
      </w:r>
      <w:r>
        <w:rPr>
          <w:rFonts w:ascii="宋体" w:hAnsi="宋体" w:cs="宋体"/>
          <w:b/>
          <w:color w:val="auto"/>
          <w:szCs w:val="21"/>
          <w:highlight w:val="none"/>
        </w:rPr>
        <w:t>1-1</w:t>
      </w:r>
      <w:r>
        <w:rPr>
          <w:rFonts w:hint="eastAsia" w:ascii="宋体" w:hAnsi="宋体" w:cs="宋体"/>
          <w:b/>
          <w:color w:val="auto"/>
          <w:szCs w:val="21"/>
          <w:highlight w:val="none"/>
        </w:rPr>
        <w:t>：资格审查表（注：本表不需要投标人填写）</w:t>
      </w:r>
    </w:p>
    <w:p>
      <w:pPr>
        <w:spacing w:line="360" w:lineRule="auto"/>
        <w:jc w:val="center"/>
        <w:rPr>
          <w:rFonts w:ascii="宋体" w:cs="宋体"/>
          <w:b/>
          <w:color w:val="auto"/>
          <w:sz w:val="28"/>
          <w:szCs w:val="21"/>
          <w:highlight w:val="none"/>
        </w:rPr>
      </w:pPr>
      <w:r>
        <w:rPr>
          <w:rFonts w:hint="eastAsia" w:ascii="宋体" w:hAnsi="宋体" w:cs="宋体"/>
          <w:b/>
          <w:color w:val="auto"/>
          <w:sz w:val="28"/>
          <w:szCs w:val="21"/>
          <w:highlight w:val="none"/>
        </w:rPr>
        <w:t>资格审查表</w:t>
      </w:r>
    </w:p>
    <w:tbl>
      <w:tblPr>
        <w:tblStyle w:val="55"/>
        <w:tblW w:w="108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936"/>
        <w:gridCol w:w="3574"/>
        <w:gridCol w:w="2299"/>
        <w:gridCol w:w="1192"/>
        <w:gridCol w:w="1190"/>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exact"/>
          <w:tblHeader/>
          <w:jc w:val="center"/>
        </w:trPr>
        <w:tc>
          <w:tcPr>
            <w:tcW w:w="439" w:type="dxa"/>
            <w:vAlign w:val="center"/>
          </w:tcPr>
          <w:p>
            <w:pPr>
              <w:spacing w:line="360" w:lineRule="auto"/>
              <w:jc w:val="center"/>
              <w:rPr>
                <w:rFonts w:ascii="宋体" w:cs="宋体"/>
                <w:b/>
                <w:color w:val="auto"/>
                <w:sz w:val="22"/>
                <w:szCs w:val="21"/>
                <w:highlight w:val="none"/>
              </w:rPr>
            </w:pPr>
            <w:r>
              <w:rPr>
                <w:rFonts w:hint="eastAsia" w:ascii="宋体" w:hAnsi="宋体" w:cs="宋体"/>
                <w:b/>
                <w:color w:val="auto"/>
                <w:sz w:val="22"/>
                <w:szCs w:val="21"/>
                <w:highlight w:val="none"/>
              </w:rPr>
              <w:t>序号</w:t>
            </w:r>
          </w:p>
        </w:tc>
        <w:tc>
          <w:tcPr>
            <w:tcW w:w="4510" w:type="dxa"/>
            <w:gridSpan w:val="2"/>
            <w:tcBorders>
              <w:tl2br w:val="single" w:color="auto" w:sz="4" w:space="0"/>
            </w:tcBorders>
            <w:vAlign w:val="center"/>
          </w:tcPr>
          <w:p>
            <w:pPr>
              <w:spacing w:line="360" w:lineRule="auto"/>
              <w:jc w:val="right"/>
              <w:rPr>
                <w:rFonts w:ascii="宋体" w:cs="宋体"/>
                <w:b/>
                <w:color w:val="auto"/>
                <w:sz w:val="22"/>
                <w:szCs w:val="21"/>
                <w:highlight w:val="none"/>
              </w:rPr>
            </w:pPr>
            <w:r>
              <w:rPr>
                <w:rFonts w:hint="eastAsia" w:ascii="宋体" w:hAnsi="宋体" w:cs="宋体"/>
                <w:b/>
                <w:color w:val="auto"/>
                <w:sz w:val="22"/>
                <w:szCs w:val="21"/>
                <w:highlight w:val="none"/>
              </w:rPr>
              <w:t>投标人</w:t>
            </w:r>
          </w:p>
          <w:p>
            <w:pPr>
              <w:spacing w:line="360" w:lineRule="auto"/>
              <w:rPr>
                <w:rFonts w:ascii="宋体" w:cs="宋体"/>
                <w:color w:val="auto"/>
                <w:sz w:val="22"/>
                <w:szCs w:val="21"/>
                <w:highlight w:val="none"/>
              </w:rPr>
            </w:pPr>
            <w:r>
              <w:rPr>
                <w:rFonts w:hint="eastAsia" w:ascii="宋体" w:hAnsi="宋体" w:cs="宋体"/>
                <w:b/>
                <w:color w:val="auto"/>
                <w:sz w:val="22"/>
                <w:szCs w:val="21"/>
                <w:highlight w:val="none"/>
              </w:rPr>
              <w:t>投标有效性审查项</w:t>
            </w:r>
          </w:p>
        </w:tc>
        <w:tc>
          <w:tcPr>
            <w:tcW w:w="2299" w:type="dxa"/>
            <w:vAlign w:val="center"/>
          </w:tcPr>
          <w:p>
            <w:pPr>
              <w:spacing w:line="360" w:lineRule="auto"/>
              <w:jc w:val="center"/>
              <w:rPr>
                <w:rFonts w:ascii="宋体" w:cs="宋体"/>
                <w:b/>
                <w:color w:val="auto"/>
                <w:sz w:val="22"/>
                <w:szCs w:val="21"/>
                <w:highlight w:val="none"/>
              </w:rPr>
            </w:pPr>
            <w:r>
              <w:rPr>
                <w:rFonts w:ascii="宋体" w:hAnsi="宋体" w:cs="宋体"/>
                <w:b/>
                <w:color w:val="auto"/>
                <w:sz w:val="22"/>
                <w:szCs w:val="21"/>
                <w:highlight w:val="none"/>
              </w:rPr>
              <w:t>A</w:t>
            </w:r>
            <w:r>
              <w:rPr>
                <w:rFonts w:hint="eastAsia" w:ascii="宋体" w:hAnsi="宋体" w:cs="宋体"/>
                <w:b/>
                <w:color w:val="auto"/>
                <w:sz w:val="22"/>
                <w:szCs w:val="21"/>
                <w:highlight w:val="none"/>
              </w:rPr>
              <w:t>投标人</w:t>
            </w:r>
          </w:p>
        </w:tc>
        <w:tc>
          <w:tcPr>
            <w:tcW w:w="1192" w:type="dxa"/>
            <w:vAlign w:val="center"/>
          </w:tcPr>
          <w:p>
            <w:pPr>
              <w:spacing w:line="360" w:lineRule="auto"/>
              <w:jc w:val="center"/>
              <w:rPr>
                <w:rFonts w:ascii="宋体" w:cs="宋体"/>
                <w:b/>
                <w:color w:val="auto"/>
                <w:sz w:val="22"/>
                <w:szCs w:val="21"/>
                <w:highlight w:val="none"/>
              </w:rPr>
            </w:pPr>
            <w:r>
              <w:rPr>
                <w:rFonts w:ascii="宋体" w:hAnsi="宋体" w:cs="宋体"/>
                <w:b/>
                <w:color w:val="auto"/>
                <w:sz w:val="22"/>
                <w:szCs w:val="21"/>
                <w:highlight w:val="none"/>
              </w:rPr>
              <w:t>B</w:t>
            </w:r>
            <w:r>
              <w:rPr>
                <w:rFonts w:hint="eastAsia" w:ascii="宋体" w:hAnsi="宋体" w:cs="宋体"/>
                <w:b/>
                <w:color w:val="auto"/>
                <w:sz w:val="22"/>
                <w:szCs w:val="21"/>
                <w:highlight w:val="none"/>
              </w:rPr>
              <w:t>投标人</w:t>
            </w:r>
          </w:p>
        </w:tc>
        <w:tc>
          <w:tcPr>
            <w:tcW w:w="1190" w:type="dxa"/>
            <w:vAlign w:val="center"/>
          </w:tcPr>
          <w:p>
            <w:pPr>
              <w:tabs>
                <w:tab w:val="left" w:pos="8640"/>
              </w:tabs>
              <w:spacing w:line="360" w:lineRule="auto"/>
              <w:jc w:val="center"/>
              <w:rPr>
                <w:rFonts w:ascii="宋体" w:cs="宋体"/>
                <w:b/>
                <w:color w:val="auto"/>
                <w:sz w:val="22"/>
                <w:szCs w:val="21"/>
                <w:highlight w:val="none"/>
              </w:rPr>
            </w:pPr>
            <w:r>
              <w:rPr>
                <w:rFonts w:ascii="宋体" w:hAnsi="宋体" w:cs="宋体"/>
                <w:b/>
                <w:color w:val="auto"/>
                <w:sz w:val="22"/>
                <w:szCs w:val="21"/>
                <w:highlight w:val="none"/>
              </w:rPr>
              <w:t>C</w:t>
            </w:r>
            <w:r>
              <w:rPr>
                <w:rFonts w:hint="eastAsia" w:ascii="宋体" w:hAnsi="宋体" w:cs="宋体"/>
                <w:b/>
                <w:color w:val="auto"/>
                <w:sz w:val="22"/>
                <w:szCs w:val="21"/>
                <w:highlight w:val="none"/>
              </w:rPr>
              <w:t>投标人</w:t>
            </w:r>
          </w:p>
        </w:tc>
        <w:tc>
          <w:tcPr>
            <w:tcW w:w="1192" w:type="dxa"/>
            <w:vAlign w:val="center"/>
          </w:tcPr>
          <w:p>
            <w:pPr>
              <w:spacing w:line="360" w:lineRule="auto"/>
              <w:jc w:val="center"/>
              <w:rPr>
                <w:rFonts w:ascii="宋体" w:cs="宋体"/>
                <w:b/>
                <w:color w:val="auto"/>
                <w:sz w:val="22"/>
                <w:szCs w:val="21"/>
                <w:highlight w:val="none"/>
              </w:rPr>
            </w:pPr>
            <w:r>
              <w:rPr>
                <w:rFonts w:ascii="宋体" w:hAnsi="宋体" w:cs="宋体"/>
                <w:b/>
                <w:color w:val="auto"/>
                <w:sz w:val="22"/>
                <w:szCs w:val="21"/>
                <w:highlight w:val="none"/>
              </w:rPr>
              <w:t>D</w:t>
            </w:r>
            <w:r>
              <w:rPr>
                <w:rFonts w:hint="eastAsia" w:ascii="宋体" w:hAnsi="宋体" w:cs="宋体"/>
                <w:b/>
                <w:color w:val="auto"/>
                <w:sz w:val="22"/>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9" w:type="dxa"/>
            <w:vAlign w:val="center"/>
          </w:tcPr>
          <w:p>
            <w:pPr>
              <w:numPr>
                <w:ilvl w:val="0"/>
                <w:numId w:val="19"/>
              </w:numPr>
              <w:spacing w:before="40" w:after="40" w:line="360" w:lineRule="auto"/>
              <w:jc w:val="center"/>
              <w:rPr>
                <w:rFonts w:ascii="宋体" w:cs="宋体"/>
                <w:color w:val="auto"/>
                <w:sz w:val="22"/>
                <w:szCs w:val="21"/>
                <w:highlight w:val="none"/>
              </w:rPr>
            </w:pPr>
          </w:p>
        </w:tc>
        <w:tc>
          <w:tcPr>
            <w:tcW w:w="4510" w:type="dxa"/>
            <w:gridSpan w:val="2"/>
            <w:vAlign w:val="center"/>
          </w:tcPr>
          <w:p>
            <w:pPr>
              <w:spacing w:line="360" w:lineRule="auto"/>
              <w:ind w:left="40" w:leftChars="19"/>
              <w:rPr>
                <w:rFonts w:ascii="宋体" w:cs="宋体"/>
                <w:color w:val="auto"/>
                <w:sz w:val="18"/>
                <w:szCs w:val="18"/>
                <w:highlight w:val="none"/>
              </w:rPr>
            </w:pPr>
            <w:r>
              <w:rPr>
                <w:rFonts w:hint="eastAsia" w:ascii="宋体" w:hAnsi="宋体" w:cs="宋体"/>
                <w:color w:val="auto"/>
                <w:sz w:val="22"/>
                <w:szCs w:val="21"/>
                <w:highlight w:val="none"/>
              </w:rPr>
              <w:t>已按投标邀请函规定购买招标文件</w:t>
            </w:r>
          </w:p>
        </w:tc>
        <w:tc>
          <w:tcPr>
            <w:tcW w:w="2299" w:type="dxa"/>
          </w:tcPr>
          <w:p>
            <w:pPr>
              <w:tabs>
                <w:tab w:val="left" w:pos="686"/>
                <w:tab w:val="left" w:pos="1030"/>
              </w:tabs>
              <w:spacing w:before="40" w:after="40" w:line="360" w:lineRule="auto"/>
              <w:rPr>
                <w:rFonts w:ascii="宋体" w:cs="宋体"/>
                <w:color w:val="auto"/>
                <w:sz w:val="22"/>
                <w:szCs w:val="21"/>
                <w:highlight w:val="none"/>
              </w:rPr>
            </w:pPr>
          </w:p>
        </w:tc>
        <w:tc>
          <w:tcPr>
            <w:tcW w:w="1192" w:type="dxa"/>
            <w:vAlign w:val="center"/>
          </w:tcPr>
          <w:p>
            <w:pPr>
              <w:spacing w:before="40" w:after="40" w:line="360" w:lineRule="auto"/>
              <w:rPr>
                <w:rFonts w:ascii="宋体" w:cs="宋体"/>
                <w:b/>
                <w:color w:val="auto"/>
                <w:sz w:val="22"/>
                <w:szCs w:val="21"/>
                <w:highlight w:val="none"/>
              </w:rPr>
            </w:pPr>
          </w:p>
        </w:tc>
        <w:tc>
          <w:tcPr>
            <w:tcW w:w="1190" w:type="dxa"/>
            <w:vAlign w:val="center"/>
          </w:tcPr>
          <w:p>
            <w:pPr>
              <w:spacing w:before="40" w:after="40" w:line="360" w:lineRule="auto"/>
              <w:rPr>
                <w:rFonts w:ascii="宋体" w:cs="宋体"/>
                <w:b/>
                <w:color w:val="auto"/>
                <w:sz w:val="22"/>
                <w:szCs w:val="21"/>
                <w:highlight w:val="none"/>
              </w:rPr>
            </w:pPr>
          </w:p>
        </w:tc>
        <w:tc>
          <w:tcPr>
            <w:tcW w:w="1192" w:type="dxa"/>
            <w:vAlign w:val="center"/>
          </w:tcPr>
          <w:p>
            <w:pPr>
              <w:spacing w:before="40" w:after="40" w:line="360" w:lineRule="auto"/>
              <w:rPr>
                <w:rFonts w:ascii="宋体" w:cs="宋体"/>
                <w:b/>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exact"/>
          <w:jc w:val="center"/>
        </w:trPr>
        <w:tc>
          <w:tcPr>
            <w:tcW w:w="439" w:type="dxa"/>
            <w:vAlign w:val="center"/>
          </w:tcPr>
          <w:p>
            <w:pPr>
              <w:numPr>
                <w:ilvl w:val="0"/>
                <w:numId w:val="19"/>
              </w:numPr>
              <w:spacing w:before="40" w:after="40" w:line="360" w:lineRule="auto"/>
              <w:jc w:val="center"/>
              <w:rPr>
                <w:rFonts w:ascii="宋体" w:cs="宋体"/>
                <w:color w:val="auto"/>
                <w:sz w:val="22"/>
                <w:szCs w:val="21"/>
                <w:highlight w:val="none"/>
              </w:rPr>
            </w:pPr>
          </w:p>
        </w:tc>
        <w:tc>
          <w:tcPr>
            <w:tcW w:w="4510" w:type="dxa"/>
            <w:gridSpan w:val="2"/>
            <w:vAlign w:val="center"/>
          </w:tcPr>
          <w:p>
            <w:pPr>
              <w:spacing w:line="360" w:lineRule="auto"/>
              <w:ind w:left="40" w:leftChars="19"/>
              <w:rPr>
                <w:rFonts w:ascii="宋体" w:cs="宋体"/>
                <w:color w:val="auto"/>
                <w:sz w:val="18"/>
                <w:szCs w:val="18"/>
                <w:highlight w:val="none"/>
              </w:rPr>
            </w:pPr>
            <w:r>
              <w:rPr>
                <w:rFonts w:hint="eastAsia" w:ascii="宋体" w:hAnsi="宋体" w:cs="宋体"/>
                <w:color w:val="auto"/>
                <w:sz w:val="22"/>
                <w:szCs w:val="21"/>
                <w:highlight w:val="none"/>
              </w:rPr>
              <w:t>投标保证金符合要求</w:t>
            </w:r>
          </w:p>
        </w:tc>
        <w:tc>
          <w:tcPr>
            <w:tcW w:w="2299" w:type="dxa"/>
          </w:tcPr>
          <w:p>
            <w:pPr>
              <w:tabs>
                <w:tab w:val="left" w:pos="686"/>
                <w:tab w:val="left" w:pos="1030"/>
              </w:tabs>
              <w:spacing w:before="40" w:after="40" w:line="360" w:lineRule="auto"/>
              <w:rPr>
                <w:rFonts w:ascii="宋体" w:cs="宋体"/>
                <w:color w:val="auto"/>
                <w:sz w:val="22"/>
                <w:szCs w:val="21"/>
                <w:highlight w:val="none"/>
              </w:rPr>
            </w:pPr>
          </w:p>
        </w:tc>
        <w:tc>
          <w:tcPr>
            <w:tcW w:w="1192" w:type="dxa"/>
            <w:vAlign w:val="center"/>
          </w:tcPr>
          <w:p>
            <w:pPr>
              <w:spacing w:before="40" w:after="40" w:line="360" w:lineRule="auto"/>
              <w:rPr>
                <w:rFonts w:ascii="宋体" w:cs="宋体"/>
                <w:color w:val="auto"/>
                <w:sz w:val="22"/>
                <w:szCs w:val="21"/>
                <w:highlight w:val="none"/>
              </w:rPr>
            </w:pPr>
          </w:p>
        </w:tc>
        <w:tc>
          <w:tcPr>
            <w:tcW w:w="1190" w:type="dxa"/>
            <w:vAlign w:val="center"/>
          </w:tcPr>
          <w:p>
            <w:pPr>
              <w:spacing w:before="40" w:after="40" w:line="360" w:lineRule="auto"/>
              <w:rPr>
                <w:rFonts w:ascii="宋体" w:cs="宋体"/>
                <w:color w:val="auto"/>
                <w:sz w:val="22"/>
                <w:szCs w:val="21"/>
                <w:highlight w:val="none"/>
              </w:rPr>
            </w:pPr>
          </w:p>
        </w:tc>
        <w:tc>
          <w:tcPr>
            <w:tcW w:w="1192" w:type="dxa"/>
            <w:vAlign w:val="center"/>
          </w:tcPr>
          <w:p>
            <w:pPr>
              <w:spacing w:before="40" w:after="40" w:line="360" w:lineRule="auto"/>
              <w:rPr>
                <w:rFonts w:ascii="宋体" w:cs="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exact"/>
          <w:jc w:val="center"/>
        </w:trPr>
        <w:tc>
          <w:tcPr>
            <w:tcW w:w="439" w:type="dxa"/>
            <w:vAlign w:val="center"/>
          </w:tcPr>
          <w:p>
            <w:pPr>
              <w:numPr>
                <w:ilvl w:val="0"/>
                <w:numId w:val="19"/>
              </w:numPr>
              <w:spacing w:before="40" w:after="40" w:line="360" w:lineRule="auto"/>
              <w:jc w:val="center"/>
              <w:rPr>
                <w:rFonts w:ascii="宋体" w:cs="宋体"/>
                <w:color w:val="auto"/>
                <w:sz w:val="22"/>
                <w:szCs w:val="21"/>
                <w:highlight w:val="none"/>
              </w:rPr>
            </w:pPr>
          </w:p>
        </w:tc>
        <w:tc>
          <w:tcPr>
            <w:tcW w:w="4510" w:type="dxa"/>
            <w:gridSpan w:val="2"/>
            <w:vAlign w:val="center"/>
          </w:tcPr>
          <w:p>
            <w:pPr>
              <w:spacing w:line="360" w:lineRule="auto"/>
              <w:ind w:left="40" w:leftChars="19"/>
              <w:rPr>
                <w:rFonts w:ascii="宋体" w:cs="宋体"/>
                <w:color w:val="auto"/>
                <w:sz w:val="18"/>
                <w:szCs w:val="18"/>
                <w:highlight w:val="none"/>
              </w:rPr>
            </w:pPr>
            <w:r>
              <w:rPr>
                <w:rFonts w:hint="eastAsia" w:ascii="宋体" w:hAnsi="宋体"/>
                <w:color w:val="auto"/>
                <w:sz w:val="22"/>
                <w:szCs w:val="22"/>
                <w:highlight w:val="none"/>
              </w:rPr>
              <w:t>符合供应商资格要求（见第一部分投标邀请函第六点合格供应商资格要求）</w:t>
            </w:r>
          </w:p>
        </w:tc>
        <w:tc>
          <w:tcPr>
            <w:tcW w:w="2299" w:type="dxa"/>
          </w:tcPr>
          <w:p>
            <w:pPr>
              <w:tabs>
                <w:tab w:val="left" w:pos="686"/>
                <w:tab w:val="left" w:pos="1030"/>
              </w:tabs>
              <w:spacing w:before="40" w:after="40" w:line="360" w:lineRule="auto"/>
              <w:rPr>
                <w:rFonts w:ascii="宋体" w:cs="宋体"/>
                <w:color w:val="auto"/>
                <w:sz w:val="22"/>
                <w:szCs w:val="21"/>
                <w:highlight w:val="none"/>
              </w:rPr>
            </w:pPr>
          </w:p>
        </w:tc>
        <w:tc>
          <w:tcPr>
            <w:tcW w:w="1192" w:type="dxa"/>
            <w:vAlign w:val="center"/>
          </w:tcPr>
          <w:p>
            <w:pPr>
              <w:spacing w:before="40" w:after="40" w:line="360" w:lineRule="auto"/>
              <w:rPr>
                <w:rFonts w:ascii="宋体" w:cs="宋体"/>
                <w:b/>
                <w:color w:val="auto"/>
                <w:sz w:val="22"/>
                <w:szCs w:val="21"/>
                <w:highlight w:val="none"/>
              </w:rPr>
            </w:pPr>
          </w:p>
        </w:tc>
        <w:tc>
          <w:tcPr>
            <w:tcW w:w="1190" w:type="dxa"/>
            <w:vAlign w:val="center"/>
          </w:tcPr>
          <w:p>
            <w:pPr>
              <w:spacing w:before="40" w:after="40" w:line="360" w:lineRule="auto"/>
              <w:rPr>
                <w:rFonts w:ascii="宋体" w:cs="宋体"/>
                <w:b/>
                <w:color w:val="auto"/>
                <w:sz w:val="22"/>
                <w:szCs w:val="21"/>
                <w:highlight w:val="none"/>
              </w:rPr>
            </w:pPr>
          </w:p>
        </w:tc>
        <w:tc>
          <w:tcPr>
            <w:tcW w:w="1192" w:type="dxa"/>
            <w:vAlign w:val="center"/>
          </w:tcPr>
          <w:p>
            <w:pPr>
              <w:spacing w:before="40" w:after="40" w:line="360" w:lineRule="auto"/>
              <w:rPr>
                <w:rFonts w:ascii="宋体" w:cs="宋体"/>
                <w:b/>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949" w:type="dxa"/>
            <w:gridSpan w:val="3"/>
            <w:vAlign w:val="center"/>
          </w:tcPr>
          <w:p>
            <w:pPr>
              <w:spacing w:before="40" w:after="40" w:line="360" w:lineRule="auto"/>
              <w:jc w:val="center"/>
              <w:rPr>
                <w:rFonts w:ascii="宋体" w:cs="宋体"/>
                <w:b/>
                <w:color w:val="auto"/>
                <w:sz w:val="22"/>
                <w:szCs w:val="21"/>
                <w:highlight w:val="none"/>
              </w:rPr>
            </w:pPr>
            <w:r>
              <w:rPr>
                <w:rFonts w:hint="eastAsia" w:ascii="宋体" w:hAnsi="宋体" w:cs="宋体"/>
                <w:b/>
                <w:color w:val="auto"/>
                <w:sz w:val="22"/>
                <w:szCs w:val="21"/>
                <w:highlight w:val="none"/>
              </w:rPr>
              <w:t>结论</w:t>
            </w:r>
          </w:p>
        </w:tc>
        <w:tc>
          <w:tcPr>
            <w:tcW w:w="2299" w:type="dxa"/>
            <w:vAlign w:val="center"/>
          </w:tcPr>
          <w:p>
            <w:pPr>
              <w:spacing w:before="40" w:after="40" w:line="360" w:lineRule="auto"/>
              <w:rPr>
                <w:rFonts w:ascii="宋体" w:cs="宋体"/>
                <w:b/>
                <w:color w:val="auto"/>
                <w:sz w:val="22"/>
                <w:szCs w:val="21"/>
                <w:highlight w:val="none"/>
              </w:rPr>
            </w:pPr>
          </w:p>
        </w:tc>
        <w:tc>
          <w:tcPr>
            <w:tcW w:w="1192" w:type="dxa"/>
            <w:vAlign w:val="center"/>
          </w:tcPr>
          <w:p>
            <w:pPr>
              <w:spacing w:before="40" w:after="40" w:line="360" w:lineRule="auto"/>
              <w:rPr>
                <w:rFonts w:ascii="宋体" w:cs="宋体"/>
                <w:b/>
                <w:color w:val="auto"/>
                <w:sz w:val="22"/>
                <w:szCs w:val="21"/>
                <w:highlight w:val="none"/>
              </w:rPr>
            </w:pPr>
          </w:p>
        </w:tc>
        <w:tc>
          <w:tcPr>
            <w:tcW w:w="1190" w:type="dxa"/>
            <w:vAlign w:val="center"/>
          </w:tcPr>
          <w:p>
            <w:pPr>
              <w:spacing w:before="40" w:after="40" w:line="360" w:lineRule="auto"/>
              <w:rPr>
                <w:rFonts w:ascii="宋体" w:cs="宋体"/>
                <w:b/>
                <w:color w:val="auto"/>
                <w:sz w:val="22"/>
                <w:szCs w:val="21"/>
                <w:highlight w:val="none"/>
              </w:rPr>
            </w:pPr>
          </w:p>
        </w:tc>
        <w:tc>
          <w:tcPr>
            <w:tcW w:w="1192" w:type="dxa"/>
            <w:vAlign w:val="center"/>
          </w:tcPr>
          <w:p>
            <w:pPr>
              <w:spacing w:before="40" w:after="40" w:line="360" w:lineRule="auto"/>
              <w:rPr>
                <w:rFonts w:ascii="宋体" w:cs="宋体"/>
                <w:b/>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75" w:type="dxa"/>
            <w:gridSpan w:val="2"/>
            <w:vAlign w:val="center"/>
          </w:tcPr>
          <w:p>
            <w:pPr>
              <w:spacing w:line="360" w:lineRule="auto"/>
              <w:jc w:val="center"/>
              <w:rPr>
                <w:rFonts w:ascii="宋体" w:cs="宋体"/>
                <w:color w:val="auto"/>
                <w:sz w:val="22"/>
                <w:szCs w:val="21"/>
                <w:highlight w:val="none"/>
              </w:rPr>
            </w:pPr>
            <w:r>
              <w:rPr>
                <w:rFonts w:hint="eastAsia" w:ascii="宋体" w:hAnsi="宋体" w:cs="宋体"/>
                <w:color w:val="auto"/>
                <w:sz w:val="22"/>
                <w:szCs w:val="21"/>
                <w:highlight w:val="none"/>
              </w:rPr>
              <w:t>不通过原因说明</w:t>
            </w:r>
          </w:p>
        </w:tc>
        <w:tc>
          <w:tcPr>
            <w:tcW w:w="9447" w:type="dxa"/>
            <w:gridSpan w:val="5"/>
            <w:vAlign w:val="center"/>
          </w:tcPr>
          <w:p>
            <w:pPr>
              <w:spacing w:before="40" w:after="40" w:line="360" w:lineRule="auto"/>
              <w:ind w:left="205" w:hanging="205" w:hangingChars="93"/>
              <w:rPr>
                <w:rFonts w:ascii="宋体" w:cs="宋体"/>
                <w:b/>
                <w:color w:val="auto"/>
                <w:sz w:val="22"/>
                <w:szCs w:val="21"/>
                <w:highlight w:val="none"/>
              </w:rPr>
            </w:pPr>
          </w:p>
        </w:tc>
      </w:tr>
    </w:tbl>
    <w:p>
      <w:pPr>
        <w:spacing w:before="120" w:line="360" w:lineRule="auto"/>
        <w:rPr>
          <w:rFonts w:ascii="宋体" w:cs="宋体"/>
          <w:color w:val="auto"/>
          <w:szCs w:val="21"/>
          <w:highlight w:val="none"/>
        </w:rPr>
      </w:pPr>
      <w:r>
        <w:rPr>
          <w:rFonts w:hint="eastAsia" w:ascii="宋体" w:hAnsi="宋体" w:cs="宋体"/>
          <w:color w:val="auto"/>
          <w:szCs w:val="21"/>
          <w:highlight w:val="none"/>
        </w:rPr>
        <w:t>备注：</w:t>
      </w:r>
      <w:r>
        <w:rPr>
          <w:rFonts w:ascii="宋体" w:hAnsi="宋体" w:cs="宋体"/>
          <w:color w:val="auto"/>
          <w:szCs w:val="21"/>
          <w:highlight w:val="none"/>
        </w:rPr>
        <w:t>1</w:t>
      </w:r>
      <w:r>
        <w:rPr>
          <w:rFonts w:hint="eastAsia" w:ascii="宋体" w:hAnsi="宋体" w:cs="宋体"/>
          <w:color w:val="auto"/>
          <w:szCs w:val="21"/>
          <w:highlight w:val="none"/>
        </w:rPr>
        <w:t>．评审时对投标人是否满足要求逐条标注评审意见，“是”标记为“○”，“否”标记为“×”；</w:t>
      </w:r>
    </w:p>
    <w:p>
      <w:pPr>
        <w:spacing w:line="360" w:lineRule="auto"/>
        <w:ind w:firstLine="630" w:firstLineChars="3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．评审结论栏统一填写为“通过”或“不通过”，出现一个“×”为“不通过”；</w:t>
      </w:r>
    </w:p>
    <w:p>
      <w:pPr>
        <w:spacing w:line="360" w:lineRule="auto"/>
        <w:ind w:firstLine="630" w:firstLineChars="3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．对结论为“不通过”的投标人，要说明原因。</w:t>
      </w:r>
    </w:p>
    <w:p>
      <w:pPr>
        <w:spacing w:line="360" w:lineRule="auto"/>
        <w:rPr>
          <w:rFonts w:ascii="宋体" w:cs="宋体"/>
          <w:color w:val="auto"/>
          <w:szCs w:val="21"/>
          <w:highlight w:val="none"/>
        </w:rPr>
      </w:pPr>
    </w:p>
    <w:p>
      <w:pPr>
        <w:wordWrap w:val="0"/>
        <w:spacing w:line="360" w:lineRule="auto"/>
        <w:rPr>
          <w:rFonts w:ascii="宋体" w:cs="Arial"/>
          <w:color w:val="auto"/>
          <w:szCs w:val="21"/>
          <w:highlight w:val="none"/>
        </w:rPr>
      </w:pPr>
      <w:r>
        <w:rPr>
          <w:rFonts w:hint="eastAsia" w:ascii="宋体" w:hAnsi="宋体" w:cs="Arial"/>
          <w:color w:val="auto"/>
          <w:szCs w:val="21"/>
          <w:highlight w:val="none"/>
        </w:rPr>
        <w:t>代理机构经办人签名：</w:t>
      </w:r>
      <w:r>
        <w:rPr>
          <w:rFonts w:hint="eastAsia" w:ascii="宋体" w:hAnsi="宋体" w:cs="宋体"/>
          <w:color w:val="auto"/>
          <w:szCs w:val="21"/>
          <w:highlight w:val="none"/>
        </w:rPr>
        <w:t>日期：</w:t>
      </w:r>
    </w:p>
    <w:p>
      <w:pPr>
        <w:spacing w:line="360" w:lineRule="auto"/>
        <w:rPr>
          <w:rFonts w:ascii="宋体" w:cs="宋体"/>
          <w:color w:val="auto"/>
          <w:szCs w:val="21"/>
          <w:highlight w:val="none"/>
        </w:rPr>
        <w:sectPr>
          <w:pgSz w:w="11905" w:h="16838"/>
          <w:pgMar w:top="1417" w:right="1094" w:bottom="1417" w:left="1304" w:header="794" w:footer="794" w:gutter="0"/>
          <w:cols w:space="0" w:num="1"/>
        </w:sectPr>
      </w:pPr>
    </w:p>
    <w:p>
      <w:pPr>
        <w:adjustRightInd w:val="0"/>
        <w:snapToGrid w:val="0"/>
        <w:spacing w:line="360" w:lineRule="auto"/>
        <w:ind w:left="430" w:hanging="430" w:hangingChars="204"/>
        <w:rPr>
          <w:rFonts w:ascii="宋体" w:cs="宋体"/>
          <w:color w:val="auto"/>
          <w:szCs w:val="21"/>
          <w:highlight w:val="none"/>
        </w:rPr>
      </w:pPr>
      <w:r>
        <w:rPr>
          <w:rFonts w:hint="eastAsia" w:ascii="宋体" w:hAnsi="宋体" w:cs="宋体"/>
          <w:b/>
          <w:color w:val="auto"/>
          <w:szCs w:val="21"/>
          <w:highlight w:val="none"/>
        </w:rPr>
        <w:t>附表</w:t>
      </w:r>
      <w:r>
        <w:rPr>
          <w:rFonts w:ascii="宋体" w:hAnsi="宋体" w:cs="宋体"/>
          <w:b/>
          <w:color w:val="auto"/>
          <w:szCs w:val="21"/>
          <w:highlight w:val="none"/>
        </w:rPr>
        <w:t>1-2</w:t>
      </w:r>
      <w:r>
        <w:rPr>
          <w:rFonts w:hint="eastAsia" w:ascii="宋体" w:hAnsi="宋体" w:cs="宋体"/>
          <w:b/>
          <w:color w:val="auto"/>
          <w:szCs w:val="21"/>
          <w:highlight w:val="none"/>
        </w:rPr>
        <w:t>：符合性审查表（注：本表不需要投标人填写）</w:t>
      </w:r>
    </w:p>
    <w:p>
      <w:pPr>
        <w:spacing w:line="360" w:lineRule="auto"/>
        <w:jc w:val="center"/>
        <w:rPr>
          <w:rFonts w:ascii="宋体" w:cs="宋体"/>
          <w:b/>
          <w:color w:val="auto"/>
          <w:sz w:val="28"/>
          <w:szCs w:val="21"/>
          <w:highlight w:val="none"/>
        </w:rPr>
      </w:pPr>
      <w:r>
        <w:rPr>
          <w:rFonts w:hint="eastAsia" w:ascii="宋体" w:hAnsi="宋体" w:cs="宋体"/>
          <w:b/>
          <w:color w:val="auto"/>
          <w:sz w:val="28"/>
          <w:szCs w:val="21"/>
          <w:highlight w:val="none"/>
        </w:rPr>
        <w:t>符合性审查表</w:t>
      </w:r>
    </w:p>
    <w:tbl>
      <w:tblPr>
        <w:tblStyle w:val="55"/>
        <w:tblW w:w="108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936"/>
        <w:gridCol w:w="4685"/>
        <w:gridCol w:w="1188"/>
        <w:gridCol w:w="1192"/>
        <w:gridCol w:w="1190"/>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exact"/>
          <w:tblHeader/>
          <w:jc w:val="center"/>
        </w:trPr>
        <w:tc>
          <w:tcPr>
            <w:tcW w:w="439" w:type="dxa"/>
            <w:vAlign w:val="center"/>
          </w:tcPr>
          <w:p>
            <w:pPr>
              <w:spacing w:line="360" w:lineRule="auto"/>
              <w:jc w:val="center"/>
              <w:rPr>
                <w:rFonts w:ascii="宋体" w:cs="宋体"/>
                <w:b/>
                <w:color w:val="auto"/>
                <w:szCs w:val="21"/>
                <w:highlight w:val="none"/>
              </w:rPr>
            </w:pPr>
            <w:r>
              <w:rPr>
                <w:rFonts w:hint="eastAsia" w:ascii="宋体" w:hAnsi="宋体" w:cs="宋体"/>
                <w:b/>
                <w:color w:val="auto"/>
                <w:szCs w:val="21"/>
                <w:highlight w:val="none"/>
              </w:rPr>
              <w:t>序号</w:t>
            </w:r>
          </w:p>
        </w:tc>
        <w:tc>
          <w:tcPr>
            <w:tcW w:w="5621" w:type="dxa"/>
            <w:gridSpan w:val="2"/>
            <w:tcBorders>
              <w:tl2br w:val="single" w:color="auto" w:sz="4" w:space="0"/>
            </w:tcBorders>
            <w:vAlign w:val="center"/>
          </w:tcPr>
          <w:p>
            <w:pPr>
              <w:spacing w:line="360" w:lineRule="auto"/>
              <w:jc w:val="right"/>
              <w:rPr>
                <w:rFonts w:ascii="宋体" w:cs="宋体"/>
                <w:b/>
                <w:color w:val="auto"/>
                <w:szCs w:val="21"/>
                <w:highlight w:val="none"/>
              </w:rPr>
            </w:pPr>
            <w:r>
              <w:rPr>
                <w:rFonts w:hint="eastAsia" w:ascii="宋体" w:hAnsi="宋体" w:cs="宋体"/>
                <w:b/>
                <w:color w:val="auto"/>
                <w:szCs w:val="21"/>
                <w:highlight w:val="none"/>
              </w:rPr>
              <w:t>投标人</w:t>
            </w:r>
          </w:p>
          <w:p>
            <w:pPr>
              <w:spacing w:line="360" w:lineRule="auto"/>
              <w:rPr>
                <w:rFonts w:ascii="宋体" w:cs="宋体"/>
                <w:color w:val="auto"/>
                <w:szCs w:val="21"/>
                <w:highlight w:val="none"/>
              </w:rPr>
            </w:pPr>
            <w:r>
              <w:rPr>
                <w:rFonts w:hint="eastAsia" w:ascii="宋体" w:hAnsi="宋体" w:cs="宋体"/>
                <w:b/>
                <w:color w:val="auto"/>
                <w:szCs w:val="21"/>
                <w:highlight w:val="none"/>
              </w:rPr>
              <w:t>投标有效性审查项</w:t>
            </w:r>
          </w:p>
        </w:tc>
        <w:tc>
          <w:tcPr>
            <w:tcW w:w="1188" w:type="dxa"/>
            <w:vAlign w:val="center"/>
          </w:tcPr>
          <w:p>
            <w:pPr>
              <w:spacing w:line="360" w:lineRule="auto"/>
              <w:jc w:val="center"/>
              <w:rPr>
                <w:rFonts w:ascii="宋体" w:cs="宋体"/>
                <w:b/>
                <w:color w:val="auto"/>
                <w:szCs w:val="21"/>
                <w:highlight w:val="none"/>
              </w:rPr>
            </w:pPr>
            <w:r>
              <w:rPr>
                <w:rFonts w:ascii="宋体" w:hAnsi="宋体" w:cs="宋体"/>
                <w:b/>
                <w:color w:val="auto"/>
                <w:szCs w:val="21"/>
                <w:highlight w:val="none"/>
              </w:rPr>
              <w:t>A</w:t>
            </w:r>
            <w:r>
              <w:rPr>
                <w:rFonts w:hint="eastAsia" w:ascii="宋体" w:hAnsi="宋体" w:cs="宋体"/>
                <w:b/>
                <w:color w:val="auto"/>
                <w:szCs w:val="21"/>
                <w:highlight w:val="none"/>
              </w:rPr>
              <w:t>投标人</w:t>
            </w:r>
          </w:p>
        </w:tc>
        <w:tc>
          <w:tcPr>
            <w:tcW w:w="1192" w:type="dxa"/>
            <w:vAlign w:val="center"/>
          </w:tcPr>
          <w:p>
            <w:pPr>
              <w:spacing w:line="360" w:lineRule="auto"/>
              <w:jc w:val="center"/>
              <w:rPr>
                <w:rFonts w:ascii="宋体" w:cs="宋体"/>
                <w:b/>
                <w:color w:val="auto"/>
                <w:szCs w:val="21"/>
                <w:highlight w:val="none"/>
              </w:rPr>
            </w:pPr>
            <w:r>
              <w:rPr>
                <w:rFonts w:ascii="宋体" w:hAnsi="宋体" w:cs="宋体"/>
                <w:b/>
                <w:color w:val="auto"/>
                <w:szCs w:val="21"/>
                <w:highlight w:val="none"/>
              </w:rPr>
              <w:t>B</w:t>
            </w:r>
            <w:r>
              <w:rPr>
                <w:rFonts w:hint="eastAsia" w:ascii="宋体" w:hAnsi="宋体" w:cs="宋体"/>
                <w:b/>
                <w:color w:val="auto"/>
                <w:szCs w:val="21"/>
                <w:highlight w:val="none"/>
              </w:rPr>
              <w:t>投标人</w:t>
            </w:r>
          </w:p>
        </w:tc>
        <w:tc>
          <w:tcPr>
            <w:tcW w:w="1190" w:type="dxa"/>
            <w:vAlign w:val="center"/>
          </w:tcPr>
          <w:p>
            <w:pPr>
              <w:tabs>
                <w:tab w:val="left" w:pos="8640"/>
              </w:tabs>
              <w:spacing w:line="360" w:lineRule="auto"/>
              <w:jc w:val="center"/>
              <w:rPr>
                <w:rFonts w:ascii="宋体" w:cs="宋体"/>
                <w:b/>
                <w:color w:val="auto"/>
                <w:szCs w:val="21"/>
                <w:highlight w:val="none"/>
              </w:rPr>
            </w:pPr>
            <w:r>
              <w:rPr>
                <w:rFonts w:ascii="宋体" w:hAnsi="宋体" w:cs="宋体"/>
                <w:b/>
                <w:color w:val="auto"/>
                <w:szCs w:val="21"/>
                <w:highlight w:val="none"/>
              </w:rPr>
              <w:t>C</w:t>
            </w:r>
            <w:r>
              <w:rPr>
                <w:rFonts w:hint="eastAsia" w:ascii="宋体" w:hAnsi="宋体" w:cs="宋体"/>
                <w:b/>
                <w:color w:val="auto"/>
                <w:szCs w:val="21"/>
                <w:highlight w:val="none"/>
              </w:rPr>
              <w:t>投标人</w:t>
            </w:r>
          </w:p>
        </w:tc>
        <w:tc>
          <w:tcPr>
            <w:tcW w:w="1192" w:type="dxa"/>
            <w:vAlign w:val="center"/>
          </w:tcPr>
          <w:p>
            <w:pPr>
              <w:spacing w:line="360" w:lineRule="auto"/>
              <w:jc w:val="center"/>
              <w:rPr>
                <w:rFonts w:ascii="宋体" w:cs="宋体"/>
                <w:b/>
                <w:color w:val="auto"/>
                <w:szCs w:val="21"/>
                <w:highlight w:val="none"/>
              </w:rPr>
            </w:pPr>
            <w:r>
              <w:rPr>
                <w:rFonts w:ascii="宋体" w:hAnsi="宋体" w:cs="宋体"/>
                <w:b/>
                <w:color w:val="auto"/>
                <w:szCs w:val="21"/>
                <w:highlight w:val="none"/>
              </w:rPr>
              <w:t>D</w:t>
            </w:r>
            <w:r>
              <w:rPr>
                <w:rFonts w:hint="eastAsia" w:ascii="宋体" w:hAnsi="宋体" w:cs="宋体"/>
                <w:b/>
                <w:color w:val="auto"/>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9" w:type="dxa"/>
            <w:vAlign w:val="center"/>
          </w:tcPr>
          <w:p>
            <w:pPr>
              <w:numPr>
                <w:ilvl w:val="0"/>
                <w:numId w:val="20"/>
              </w:numPr>
              <w:spacing w:before="40" w:after="40" w:line="360" w:lineRule="auto"/>
              <w:jc w:val="center"/>
              <w:rPr>
                <w:rFonts w:ascii="宋体" w:cs="宋体"/>
                <w:color w:val="auto"/>
                <w:szCs w:val="21"/>
                <w:highlight w:val="none"/>
              </w:rPr>
            </w:pPr>
            <w:r>
              <w:rPr>
                <w:rFonts w:ascii="宋体" w:hAnsi="宋体" w:cs="宋体"/>
                <w:color w:val="auto"/>
                <w:szCs w:val="21"/>
                <w:highlight w:val="none"/>
              </w:rPr>
              <w:t>1</w:t>
            </w:r>
          </w:p>
        </w:tc>
        <w:tc>
          <w:tcPr>
            <w:tcW w:w="5621" w:type="dxa"/>
            <w:gridSpan w:val="2"/>
            <w:vAlign w:val="center"/>
          </w:tcPr>
          <w:p>
            <w:pPr>
              <w:spacing w:line="360" w:lineRule="auto"/>
              <w:ind w:left="40" w:leftChars="19"/>
              <w:rPr>
                <w:rFonts w:ascii="宋体" w:cs="宋体"/>
                <w:color w:val="auto"/>
                <w:szCs w:val="21"/>
                <w:highlight w:val="none"/>
              </w:rPr>
            </w:pPr>
            <w:r>
              <w:rPr>
                <w:rFonts w:hint="eastAsia" w:ascii="宋体" w:hAnsi="宋体" w:cs="宋体"/>
                <w:color w:val="auto"/>
                <w:szCs w:val="21"/>
                <w:highlight w:val="none"/>
              </w:rPr>
              <w:t>投标函及投标有效期符合要求</w:t>
            </w:r>
          </w:p>
        </w:tc>
        <w:tc>
          <w:tcPr>
            <w:tcW w:w="1188" w:type="dxa"/>
          </w:tcPr>
          <w:p>
            <w:pPr>
              <w:tabs>
                <w:tab w:val="left" w:pos="686"/>
                <w:tab w:val="left" w:pos="1030"/>
              </w:tabs>
              <w:spacing w:before="40" w:after="40" w:line="360" w:lineRule="auto"/>
              <w:rPr>
                <w:rFonts w:ascii="宋体" w:cs="宋体"/>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c>
          <w:tcPr>
            <w:tcW w:w="1190" w:type="dxa"/>
            <w:vAlign w:val="center"/>
          </w:tcPr>
          <w:p>
            <w:pPr>
              <w:spacing w:before="40" w:after="40" w:line="360" w:lineRule="auto"/>
              <w:rPr>
                <w:rFonts w:ascii="宋体" w:cs="宋体"/>
                <w:b/>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9" w:type="dxa"/>
            <w:vAlign w:val="center"/>
          </w:tcPr>
          <w:p>
            <w:pPr>
              <w:numPr>
                <w:ilvl w:val="0"/>
                <w:numId w:val="20"/>
              </w:numPr>
              <w:spacing w:before="40" w:after="40" w:line="360" w:lineRule="auto"/>
              <w:jc w:val="center"/>
              <w:rPr>
                <w:rFonts w:ascii="宋体" w:cs="宋体"/>
                <w:color w:val="auto"/>
                <w:szCs w:val="21"/>
                <w:highlight w:val="none"/>
              </w:rPr>
            </w:pPr>
          </w:p>
        </w:tc>
        <w:tc>
          <w:tcPr>
            <w:tcW w:w="5621" w:type="dxa"/>
            <w:gridSpan w:val="2"/>
            <w:vAlign w:val="center"/>
          </w:tcPr>
          <w:p>
            <w:pPr>
              <w:spacing w:line="360" w:lineRule="auto"/>
              <w:ind w:left="40" w:leftChars="19"/>
              <w:rPr>
                <w:rFonts w:ascii="宋体" w:cs="宋体"/>
                <w:color w:val="auto"/>
                <w:szCs w:val="21"/>
                <w:highlight w:val="none"/>
              </w:rPr>
            </w:pPr>
            <w:r>
              <w:rPr>
                <w:rFonts w:hint="eastAsia" w:ascii="宋体" w:hAnsi="宋体" w:cs="宋体"/>
                <w:color w:val="auto"/>
                <w:szCs w:val="21"/>
                <w:highlight w:val="none"/>
              </w:rPr>
              <w:t>按招标文件规定加盖公章和签署</w:t>
            </w:r>
          </w:p>
        </w:tc>
        <w:tc>
          <w:tcPr>
            <w:tcW w:w="1188" w:type="dxa"/>
          </w:tcPr>
          <w:p>
            <w:pPr>
              <w:pStyle w:val="29"/>
              <w:tabs>
                <w:tab w:val="left" w:pos="686"/>
                <w:tab w:val="left" w:pos="1030"/>
              </w:tabs>
              <w:spacing w:before="40" w:after="40" w:line="360" w:lineRule="auto"/>
              <w:rPr>
                <w:rFonts w:ascii="宋体" w:hAnsi="宋体" w:eastAsia="宋体" w:cs="宋体"/>
                <w:color w:val="auto"/>
                <w:sz w:val="21"/>
                <w:szCs w:val="21"/>
                <w:highlight w:val="none"/>
              </w:rPr>
            </w:pPr>
          </w:p>
        </w:tc>
        <w:tc>
          <w:tcPr>
            <w:tcW w:w="1192" w:type="dxa"/>
            <w:vAlign w:val="center"/>
          </w:tcPr>
          <w:p>
            <w:pPr>
              <w:spacing w:before="40" w:after="40" w:line="360" w:lineRule="auto"/>
              <w:rPr>
                <w:rFonts w:ascii="宋体" w:cs="宋体"/>
                <w:color w:val="auto"/>
                <w:szCs w:val="21"/>
                <w:highlight w:val="none"/>
              </w:rPr>
            </w:pPr>
          </w:p>
        </w:tc>
        <w:tc>
          <w:tcPr>
            <w:tcW w:w="1190" w:type="dxa"/>
            <w:vAlign w:val="center"/>
          </w:tcPr>
          <w:p>
            <w:pPr>
              <w:spacing w:before="40" w:after="40" w:line="360" w:lineRule="auto"/>
              <w:rPr>
                <w:rFonts w:ascii="宋体" w:cs="宋体"/>
                <w:color w:val="auto"/>
                <w:szCs w:val="21"/>
                <w:highlight w:val="none"/>
              </w:rPr>
            </w:pPr>
          </w:p>
        </w:tc>
        <w:tc>
          <w:tcPr>
            <w:tcW w:w="1192" w:type="dxa"/>
            <w:vAlign w:val="center"/>
          </w:tcPr>
          <w:p>
            <w:pPr>
              <w:spacing w:before="40" w:after="40" w:line="360" w:lineRule="auto"/>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9" w:type="dxa"/>
            <w:vAlign w:val="center"/>
          </w:tcPr>
          <w:p>
            <w:pPr>
              <w:numPr>
                <w:ilvl w:val="0"/>
                <w:numId w:val="20"/>
              </w:numPr>
              <w:spacing w:before="40" w:after="40" w:line="360" w:lineRule="auto"/>
              <w:jc w:val="center"/>
              <w:rPr>
                <w:rFonts w:ascii="宋体" w:cs="宋体"/>
                <w:color w:val="auto"/>
                <w:szCs w:val="21"/>
                <w:highlight w:val="none"/>
              </w:rPr>
            </w:pPr>
          </w:p>
        </w:tc>
        <w:tc>
          <w:tcPr>
            <w:tcW w:w="5621" w:type="dxa"/>
            <w:gridSpan w:val="2"/>
            <w:vAlign w:val="center"/>
          </w:tcPr>
          <w:p>
            <w:pPr>
              <w:spacing w:line="360" w:lineRule="auto"/>
              <w:ind w:left="40" w:leftChars="19"/>
              <w:rPr>
                <w:rFonts w:ascii="宋体" w:cs="宋体"/>
                <w:color w:val="auto"/>
                <w:szCs w:val="21"/>
                <w:highlight w:val="none"/>
              </w:rPr>
            </w:pPr>
            <w:r>
              <w:rPr>
                <w:rFonts w:hint="eastAsia" w:ascii="宋体" w:hAnsi="宋体" w:cs="宋体"/>
                <w:color w:val="auto"/>
                <w:szCs w:val="21"/>
                <w:highlight w:val="none"/>
              </w:rPr>
              <w:t>已提交法定代表人</w:t>
            </w:r>
            <w:r>
              <w:rPr>
                <w:rFonts w:ascii="宋体" w:hAnsi="宋体" w:cs="宋体"/>
                <w:color w:val="auto"/>
                <w:szCs w:val="21"/>
                <w:highlight w:val="none"/>
              </w:rPr>
              <w:t>/</w:t>
            </w:r>
            <w:r>
              <w:rPr>
                <w:rFonts w:hint="eastAsia" w:ascii="宋体" w:hAnsi="宋体" w:cs="宋体"/>
                <w:color w:val="auto"/>
                <w:szCs w:val="21"/>
                <w:highlight w:val="none"/>
              </w:rPr>
              <w:t>负责人资格证明书及授权委托书</w:t>
            </w:r>
          </w:p>
        </w:tc>
        <w:tc>
          <w:tcPr>
            <w:tcW w:w="1188" w:type="dxa"/>
          </w:tcPr>
          <w:p>
            <w:pPr>
              <w:pStyle w:val="29"/>
              <w:tabs>
                <w:tab w:val="left" w:pos="686"/>
                <w:tab w:val="left" w:pos="1030"/>
              </w:tabs>
              <w:spacing w:before="40" w:after="40" w:line="360" w:lineRule="auto"/>
              <w:rPr>
                <w:rFonts w:ascii="宋体" w:hAnsi="宋体" w:eastAsia="宋体" w:cs="宋体"/>
                <w:color w:val="auto"/>
                <w:sz w:val="21"/>
                <w:szCs w:val="21"/>
                <w:highlight w:val="none"/>
              </w:rPr>
            </w:pPr>
          </w:p>
        </w:tc>
        <w:tc>
          <w:tcPr>
            <w:tcW w:w="1192" w:type="dxa"/>
            <w:vAlign w:val="center"/>
          </w:tcPr>
          <w:p>
            <w:pPr>
              <w:spacing w:before="40" w:after="40" w:line="360" w:lineRule="auto"/>
              <w:rPr>
                <w:rFonts w:ascii="宋体" w:cs="宋体"/>
                <w:color w:val="auto"/>
                <w:szCs w:val="21"/>
                <w:highlight w:val="none"/>
              </w:rPr>
            </w:pPr>
          </w:p>
        </w:tc>
        <w:tc>
          <w:tcPr>
            <w:tcW w:w="1190" w:type="dxa"/>
            <w:vAlign w:val="center"/>
          </w:tcPr>
          <w:p>
            <w:pPr>
              <w:spacing w:before="40" w:after="40" w:line="360" w:lineRule="auto"/>
              <w:rPr>
                <w:rFonts w:ascii="宋体" w:cs="宋体"/>
                <w:color w:val="auto"/>
                <w:szCs w:val="21"/>
                <w:highlight w:val="none"/>
              </w:rPr>
            </w:pPr>
          </w:p>
        </w:tc>
        <w:tc>
          <w:tcPr>
            <w:tcW w:w="1192" w:type="dxa"/>
            <w:vAlign w:val="center"/>
          </w:tcPr>
          <w:p>
            <w:pPr>
              <w:spacing w:before="40" w:after="40" w:line="360" w:lineRule="auto"/>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9" w:type="dxa"/>
            <w:vAlign w:val="center"/>
          </w:tcPr>
          <w:p>
            <w:pPr>
              <w:numPr>
                <w:ilvl w:val="0"/>
                <w:numId w:val="20"/>
              </w:numPr>
              <w:spacing w:before="40" w:after="40" w:line="360" w:lineRule="auto"/>
              <w:jc w:val="center"/>
              <w:rPr>
                <w:rFonts w:ascii="宋体" w:cs="宋体"/>
                <w:color w:val="auto"/>
                <w:szCs w:val="21"/>
                <w:highlight w:val="none"/>
              </w:rPr>
            </w:pPr>
          </w:p>
        </w:tc>
        <w:tc>
          <w:tcPr>
            <w:tcW w:w="5621" w:type="dxa"/>
            <w:gridSpan w:val="2"/>
            <w:vAlign w:val="center"/>
          </w:tcPr>
          <w:p>
            <w:pPr>
              <w:spacing w:line="360" w:lineRule="auto"/>
              <w:ind w:left="40" w:leftChars="19"/>
              <w:rPr>
                <w:rFonts w:ascii="宋体" w:cs="宋体"/>
                <w:color w:val="auto"/>
                <w:szCs w:val="21"/>
                <w:highlight w:val="none"/>
              </w:rPr>
            </w:pPr>
            <w:r>
              <w:rPr>
                <w:rFonts w:hint="eastAsia" w:ascii="宋体" w:hAnsi="宋体" w:cs="宋体"/>
                <w:color w:val="auto"/>
                <w:szCs w:val="21"/>
                <w:highlight w:val="none"/>
              </w:rPr>
              <w:t>投标文件主要资料齐全</w:t>
            </w:r>
          </w:p>
        </w:tc>
        <w:tc>
          <w:tcPr>
            <w:tcW w:w="1188" w:type="dxa"/>
          </w:tcPr>
          <w:p>
            <w:pPr>
              <w:tabs>
                <w:tab w:val="left" w:pos="686"/>
                <w:tab w:val="left" w:pos="1030"/>
              </w:tabs>
              <w:spacing w:before="40" w:after="40" w:line="360" w:lineRule="auto"/>
              <w:rPr>
                <w:rFonts w:ascii="宋体" w:cs="宋体"/>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c>
          <w:tcPr>
            <w:tcW w:w="1190" w:type="dxa"/>
            <w:vAlign w:val="center"/>
          </w:tcPr>
          <w:p>
            <w:pPr>
              <w:spacing w:before="40" w:after="40" w:line="360" w:lineRule="auto"/>
              <w:rPr>
                <w:rFonts w:ascii="宋体" w:cs="宋体"/>
                <w:b/>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jc w:val="center"/>
        </w:trPr>
        <w:tc>
          <w:tcPr>
            <w:tcW w:w="439" w:type="dxa"/>
            <w:vAlign w:val="center"/>
          </w:tcPr>
          <w:p>
            <w:pPr>
              <w:numPr>
                <w:ilvl w:val="0"/>
                <w:numId w:val="20"/>
              </w:numPr>
              <w:spacing w:before="40" w:after="40" w:line="360" w:lineRule="auto"/>
              <w:jc w:val="center"/>
              <w:rPr>
                <w:rFonts w:ascii="宋体" w:cs="宋体"/>
                <w:color w:val="auto"/>
                <w:szCs w:val="21"/>
                <w:highlight w:val="none"/>
              </w:rPr>
            </w:pPr>
          </w:p>
        </w:tc>
        <w:tc>
          <w:tcPr>
            <w:tcW w:w="5621" w:type="dxa"/>
            <w:gridSpan w:val="2"/>
            <w:vAlign w:val="center"/>
          </w:tcPr>
          <w:p>
            <w:pPr>
              <w:ind w:left="40" w:leftChars="19"/>
              <w:rPr>
                <w:rFonts w:ascii="宋体" w:cs="宋体"/>
                <w:color w:val="auto"/>
                <w:szCs w:val="21"/>
                <w:highlight w:val="none"/>
              </w:rPr>
            </w:pPr>
            <w:r>
              <w:rPr>
                <w:rFonts w:hint="eastAsia" w:ascii="宋体" w:hAnsi="宋体" w:cs="宋体"/>
                <w:color w:val="auto"/>
                <w:szCs w:val="21"/>
                <w:highlight w:val="none"/>
              </w:rPr>
              <w:t>按规定格式填写，无内容不全或关键字迹模糊、无法辨认</w:t>
            </w:r>
          </w:p>
        </w:tc>
        <w:tc>
          <w:tcPr>
            <w:tcW w:w="1188" w:type="dxa"/>
          </w:tcPr>
          <w:p>
            <w:pPr>
              <w:tabs>
                <w:tab w:val="left" w:pos="686"/>
                <w:tab w:val="left" w:pos="1030"/>
              </w:tabs>
              <w:spacing w:before="40" w:after="40" w:line="360" w:lineRule="auto"/>
              <w:rPr>
                <w:rFonts w:ascii="宋体" w:cs="宋体"/>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c>
          <w:tcPr>
            <w:tcW w:w="1190" w:type="dxa"/>
            <w:vAlign w:val="center"/>
          </w:tcPr>
          <w:p>
            <w:pPr>
              <w:spacing w:before="40" w:after="40" w:line="360" w:lineRule="auto"/>
              <w:rPr>
                <w:rFonts w:ascii="宋体" w:cs="宋体"/>
                <w:b/>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exact"/>
          <w:jc w:val="center"/>
        </w:trPr>
        <w:tc>
          <w:tcPr>
            <w:tcW w:w="439" w:type="dxa"/>
            <w:vAlign w:val="center"/>
          </w:tcPr>
          <w:p>
            <w:pPr>
              <w:numPr>
                <w:ilvl w:val="0"/>
                <w:numId w:val="20"/>
              </w:numPr>
              <w:spacing w:before="40" w:after="40" w:line="360" w:lineRule="auto"/>
              <w:jc w:val="center"/>
              <w:rPr>
                <w:rFonts w:ascii="宋体" w:cs="宋体"/>
                <w:color w:val="auto"/>
                <w:szCs w:val="21"/>
                <w:highlight w:val="none"/>
              </w:rPr>
            </w:pPr>
          </w:p>
        </w:tc>
        <w:tc>
          <w:tcPr>
            <w:tcW w:w="5621" w:type="dxa"/>
            <w:gridSpan w:val="2"/>
            <w:vAlign w:val="center"/>
          </w:tcPr>
          <w:p>
            <w:pPr>
              <w:ind w:left="40" w:leftChars="19"/>
              <w:rPr>
                <w:rFonts w:ascii="宋体" w:cs="宋体"/>
                <w:color w:val="auto"/>
                <w:szCs w:val="21"/>
                <w:highlight w:val="none"/>
              </w:rPr>
            </w:pPr>
            <w:r>
              <w:rPr>
                <w:rFonts w:hint="eastAsia" w:ascii="宋体" w:hAnsi="宋体" w:cs="宋体"/>
                <w:color w:val="auto"/>
                <w:szCs w:val="21"/>
                <w:highlight w:val="none"/>
              </w:rPr>
              <w:t>投标人无递交两份或多份内容不同的投标文件，或在一份投标文件中对同一招标项目有两个或多个报价，且未声明哪个为最终报价的（招标文件规定提交备选投标方案的除外）</w:t>
            </w:r>
          </w:p>
        </w:tc>
        <w:tc>
          <w:tcPr>
            <w:tcW w:w="1188" w:type="dxa"/>
          </w:tcPr>
          <w:p>
            <w:pPr>
              <w:tabs>
                <w:tab w:val="left" w:pos="686"/>
                <w:tab w:val="left" w:pos="1030"/>
              </w:tabs>
              <w:spacing w:before="40" w:after="40" w:line="360" w:lineRule="auto"/>
              <w:rPr>
                <w:rFonts w:ascii="宋体" w:cs="宋体"/>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c>
          <w:tcPr>
            <w:tcW w:w="1190" w:type="dxa"/>
            <w:vAlign w:val="center"/>
          </w:tcPr>
          <w:p>
            <w:pPr>
              <w:spacing w:before="40" w:after="40" w:line="360" w:lineRule="auto"/>
              <w:rPr>
                <w:rFonts w:ascii="宋体" w:cs="宋体"/>
                <w:b/>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9" w:type="dxa"/>
            <w:vAlign w:val="center"/>
          </w:tcPr>
          <w:p>
            <w:pPr>
              <w:numPr>
                <w:ilvl w:val="0"/>
                <w:numId w:val="20"/>
              </w:numPr>
              <w:spacing w:before="40" w:after="40" w:line="360" w:lineRule="auto"/>
              <w:jc w:val="center"/>
              <w:rPr>
                <w:rFonts w:ascii="宋体" w:cs="宋体"/>
                <w:color w:val="auto"/>
                <w:szCs w:val="21"/>
                <w:highlight w:val="none"/>
              </w:rPr>
            </w:pPr>
          </w:p>
        </w:tc>
        <w:tc>
          <w:tcPr>
            <w:tcW w:w="5621" w:type="dxa"/>
            <w:gridSpan w:val="2"/>
            <w:vAlign w:val="center"/>
          </w:tcPr>
          <w:p>
            <w:pPr>
              <w:ind w:left="40" w:leftChars="19"/>
              <w:rPr>
                <w:rFonts w:ascii="宋体" w:cs="宋体"/>
                <w:color w:val="auto"/>
                <w:szCs w:val="21"/>
                <w:highlight w:val="none"/>
              </w:rPr>
            </w:pPr>
            <w:r>
              <w:rPr>
                <w:rFonts w:hint="eastAsia" w:ascii="宋体" w:hAnsi="宋体" w:cs="宋体"/>
                <w:color w:val="auto"/>
                <w:szCs w:val="21"/>
                <w:highlight w:val="none"/>
              </w:rPr>
              <w:t>投标价格是固定价且</w:t>
            </w:r>
            <w:r>
              <w:rPr>
                <w:rFonts w:hint="eastAsia" w:ascii="宋体" w:hAnsi="宋体"/>
                <w:color w:val="auto"/>
                <w:szCs w:val="21"/>
                <w:highlight w:val="none"/>
              </w:rPr>
              <w:t>低于本项目采购预算价</w:t>
            </w:r>
          </w:p>
        </w:tc>
        <w:tc>
          <w:tcPr>
            <w:tcW w:w="1188" w:type="dxa"/>
          </w:tcPr>
          <w:p>
            <w:pPr>
              <w:tabs>
                <w:tab w:val="left" w:pos="686"/>
                <w:tab w:val="left" w:pos="1030"/>
              </w:tabs>
              <w:spacing w:before="40" w:after="40" w:line="360" w:lineRule="auto"/>
              <w:rPr>
                <w:rFonts w:ascii="宋体" w:cs="宋体"/>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c>
          <w:tcPr>
            <w:tcW w:w="1190" w:type="dxa"/>
            <w:vAlign w:val="center"/>
          </w:tcPr>
          <w:p>
            <w:pPr>
              <w:spacing w:before="40" w:after="40" w:line="360" w:lineRule="auto"/>
              <w:rPr>
                <w:rFonts w:ascii="宋体" w:cs="宋体"/>
                <w:b/>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9" w:type="dxa"/>
            <w:vAlign w:val="center"/>
          </w:tcPr>
          <w:p>
            <w:pPr>
              <w:numPr>
                <w:ilvl w:val="0"/>
                <w:numId w:val="20"/>
              </w:numPr>
              <w:spacing w:before="40" w:after="40" w:line="360" w:lineRule="auto"/>
              <w:jc w:val="center"/>
              <w:rPr>
                <w:rFonts w:ascii="宋体" w:cs="宋体"/>
                <w:color w:val="auto"/>
                <w:szCs w:val="21"/>
                <w:highlight w:val="none"/>
              </w:rPr>
            </w:pPr>
          </w:p>
        </w:tc>
        <w:tc>
          <w:tcPr>
            <w:tcW w:w="5621" w:type="dxa"/>
            <w:gridSpan w:val="2"/>
            <w:vAlign w:val="center"/>
          </w:tcPr>
          <w:p>
            <w:pPr>
              <w:tabs>
                <w:tab w:val="left" w:pos="2880"/>
              </w:tabs>
              <w:ind w:left="40" w:leftChars="19"/>
              <w:rPr>
                <w:rFonts w:ascii="宋体" w:cs="宋体"/>
                <w:color w:val="auto"/>
                <w:szCs w:val="21"/>
                <w:highlight w:val="none"/>
              </w:rPr>
            </w:pPr>
            <w:r>
              <w:rPr>
                <w:rFonts w:hint="eastAsia" w:ascii="宋体" w:hAnsi="宋体" w:cs="宋体"/>
                <w:color w:val="auto"/>
                <w:szCs w:val="21"/>
                <w:highlight w:val="none"/>
              </w:rPr>
              <w:t>投标报价无重大漏项或重大不合理</w:t>
            </w:r>
          </w:p>
        </w:tc>
        <w:tc>
          <w:tcPr>
            <w:tcW w:w="1188" w:type="dxa"/>
          </w:tcPr>
          <w:p>
            <w:pPr>
              <w:tabs>
                <w:tab w:val="left" w:pos="686"/>
                <w:tab w:val="left" w:pos="1030"/>
              </w:tabs>
              <w:spacing w:before="40" w:after="40" w:line="360" w:lineRule="auto"/>
              <w:rPr>
                <w:rFonts w:ascii="宋体" w:cs="宋体"/>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c>
          <w:tcPr>
            <w:tcW w:w="1190" w:type="dxa"/>
            <w:vAlign w:val="center"/>
          </w:tcPr>
          <w:p>
            <w:pPr>
              <w:spacing w:before="40" w:after="40" w:line="360" w:lineRule="auto"/>
              <w:rPr>
                <w:rFonts w:ascii="宋体" w:cs="宋体"/>
                <w:b/>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9" w:type="dxa"/>
            <w:vAlign w:val="center"/>
          </w:tcPr>
          <w:p>
            <w:pPr>
              <w:numPr>
                <w:ilvl w:val="0"/>
                <w:numId w:val="20"/>
              </w:numPr>
              <w:spacing w:before="40" w:after="40" w:line="360" w:lineRule="auto"/>
              <w:jc w:val="center"/>
              <w:rPr>
                <w:rFonts w:ascii="宋体" w:cs="宋体"/>
                <w:color w:val="auto"/>
                <w:szCs w:val="21"/>
                <w:highlight w:val="none"/>
              </w:rPr>
            </w:pPr>
          </w:p>
        </w:tc>
        <w:tc>
          <w:tcPr>
            <w:tcW w:w="5621" w:type="dxa"/>
            <w:gridSpan w:val="2"/>
            <w:vAlign w:val="center"/>
          </w:tcPr>
          <w:p>
            <w:pPr>
              <w:rPr>
                <w:rFonts w:ascii="宋体" w:cs="宋体"/>
                <w:color w:val="auto"/>
                <w:szCs w:val="21"/>
                <w:highlight w:val="none"/>
              </w:rPr>
            </w:pPr>
            <w:r>
              <w:rPr>
                <w:rFonts w:hint="eastAsia" w:ascii="宋体" w:hAnsi="宋体" w:cs="宋体"/>
                <w:color w:val="auto"/>
                <w:szCs w:val="21"/>
                <w:highlight w:val="none"/>
              </w:rPr>
              <w:t>主要技术规格和参数满足《用户需求书》要求</w:t>
            </w:r>
          </w:p>
        </w:tc>
        <w:tc>
          <w:tcPr>
            <w:tcW w:w="1188" w:type="dxa"/>
          </w:tcPr>
          <w:p>
            <w:pPr>
              <w:tabs>
                <w:tab w:val="left" w:pos="686"/>
                <w:tab w:val="left" w:pos="1030"/>
              </w:tabs>
              <w:spacing w:before="40" w:after="40" w:line="360" w:lineRule="auto"/>
              <w:rPr>
                <w:rFonts w:ascii="宋体" w:cs="宋体"/>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c>
          <w:tcPr>
            <w:tcW w:w="1190" w:type="dxa"/>
            <w:vAlign w:val="center"/>
          </w:tcPr>
          <w:p>
            <w:pPr>
              <w:spacing w:before="40" w:after="40" w:line="360" w:lineRule="auto"/>
              <w:rPr>
                <w:rFonts w:ascii="宋体" w:cs="宋体"/>
                <w:b/>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9" w:type="dxa"/>
            <w:vAlign w:val="center"/>
          </w:tcPr>
          <w:p>
            <w:pPr>
              <w:numPr>
                <w:ilvl w:val="0"/>
                <w:numId w:val="20"/>
              </w:numPr>
              <w:spacing w:before="40" w:after="40" w:line="360" w:lineRule="auto"/>
              <w:jc w:val="center"/>
              <w:rPr>
                <w:rFonts w:ascii="宋体" w:cs="宋体"/>
                <w:color w:val="auto"/>
                <w:szCs w:val="21"/>
                <w:highlight w:val="none"/>
              </w:rPr>
            </w:pPr>
          </w:p>
        </w:tc>
        <w:tc>
          <w:tcPr>
            <w:tcW w:w="5621" w:type="dxa"/>
            <w:gridSpan w:val="2"/>
            <w:vAlign w:val="center"/>
          </w:tcPr>
          <w:p>
            <w:pPr>
              <w:jc w:val="both"/>
              <w:rPr>
                <w:rFonts w:ascii="宋体" w:cs="宋体"/>
                <w:color w:val="auto"/>
                <w:szCs w:val="21"/>
                <w:highlight w:val="none"/>
              </w:rPr>
            </w:pPr>
            <w:r>
              <w:rPr>
                <w:rFonts w:hint="eastAsia" w:ascii="宋体" w:hAnsi="宋体" w:cs="宋体"/>
                <w:color w:val="auto"/>
                <w:szCs w:val="21"/>
                <w:highlight w:val="none"/>
              </w:rPr>
              <w:t>商务无重大保留或偏差</w:t>
            </w:r>
          </w:p>
        </w:tc>
        <w:tc>
          <w:tcPr>
            <w:tcW w:w="1188" w:type="dxa"/>
          </w:tcPr>
          <w:p>
            <w:pPr>
              <w:tabs>
                <w:tab w:val="left" w:pos="686"/>
                <w:tab w:val="left" w:pos="1030"/>
              </w:tabs>
              <w:spacing w:before="40" w:after="40" w:line="360" w:lineRule="auto"/>
              <w:rPr>
                <w:rFonts w:ascii="宋体" w:cs="宋体"/>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c>
          <w:tcPr>
            <w:tcW w:w="1190" w:type="dxa"/>
            <w:vAlign w:val="center"/>
          </w:tcPr>
          <w:p>
            <w:pPr>
              <w:spacing w:before="40" w:after="40" w:line="360" w:lineRule="auto"/>
              <w:rPr>
                <w:rFonts w:ascii="宋体" w:cs="宋体"/>
                <w:b/>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9" w:type="dxa"/>
            <w:vAlign w:val="center"/>
          </w:tcPr>
          <w:p>
            <w:pPr>
              <w:numPr>
                <w:ilvl w:val="0"/>
                <w:numId w:val="20"/>
              </w:numPr>
              <w:spacing w:before="40" w:after="40" w:line="360" w:lineRule="auto"/>
              <w:jc w:val="center"/>
              <w:rPr>
                <w:rFonts w:ascii="宋体" w:cs="宋体"/>
                <w:color w:val="auto"/>
                <w:szCs w:val="21"/>
                <w:highlight w:val="none"/>
              </w:rPr>
            </w:pPr>
          </w:p>
        </w:tc>
        <w:tc>
          <w:tcPr>
            <w:tcW w:w="5621" w:type="dxa"/>
            <w:gridSpan w:val="2"/>
            <w:vAlign w:val="center"/>
          </w:tcPr>
          <w:p>
            <w:pPr>
              <w:spacing w:line="360" w:lineRule="auto"/>
              <w:jc w:val="both"/>
              <w:rPr>
                <w:rFonts w:ascii="宋体" w:cs="宋体"/>
                <w:color w:val="auto"/>
                <w:szCs w:val="21"/>
                <w:highlight w:val="none"/>
              </w:rPr>
            </w:pPr>
            <w:r>
              <w:rPr>
                <w:rFonts w:hint="eastAsia" w:ascii="宋体" w:hAnsi="宋体" w:cs="宋体"/>
                <w:color w:val="auto"/>
                <w:szCs w:val="21"/>
                <w:highlight w:val="none"/>
              </w:rPr>
              <w:t>无招标文件或法规明确规定可以废标的其他情形</w:t>
            </w:r>
          </w:p>
        </w:tc>
        <w:tc>
          <w:tcPr>
            <w:tcW w:w="1188" w:type="dxa"/>
          </w:tcPr>
          <w:p>
            <w:pPr>
              <w:tabs>
                <w:tab w:val="left" w:pos="686"/>
                <w:tab w:val="left" w:pos="1030"/>
              </w:tabs>
              <w:spacing w:before="40" w:after="40" w:line="360" w:lineRule="auto"/>
              <w:rPr>
                <w:rFonts w:ascii="宋体" w:cs="宋体"/>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c>
          <w:tcPr>
            <w:tcW w:w="1190" w:type="dxa"/>
            <w:vAlign w:val="center"/>
          </w:tcPr>
          <w:p>
            <w:pPr>
              <w:spacing w:before="40" w:after="40" w:line="360" w:lineRule="auto"/>
              <w:rPr>
                <w:rFonts w:ascii="宋体" w:cs="宋体"/>
                <w:b/>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060" w:type="dxa"/>
            <w:gridSpan w:val="3"/>
            <w:vAlign w:val="center"/>
          </w:tcPr>
          <w:p>
            <w:pPr>
              <w:spacing w:before="40" w:after="40" w:line="360" w:lineRule="auto"/>
              <w:jc w:val="center"/>
              <w:rPr>
                <w:rFonts w:ascii="宋体" w:cs="宋体"/>
                <w:b/>
                <w:color w:val="auto"/>
                <w:szCs w:val="21"/>
                <w:highlight w:val="none"/>
              </w:rPr>
            </w:pPr>
            <w:r>
              <w:rPr>
                <w:rFonts w:hint="eastAsia" w:ascii="宋体" w:hAnsi="宋体" w:cs="宋体"/>
                <w:b/>
                <w:color w:val="auto"/>
                <w:szCs w:val="21"/>
                <w:highlight w:val="none"/>
              </w:rPr>
              <w:t>结论</w:t>
            </w:r>
          </w:p>
        </w:tc>
        <w:tc>
          <w:tcPr>
            <w:tcW w:w="1188" w:type="dxa"/>
            <w:vAlign w:val="center"/>
          </w:tcPr>
          <w:p>
            <w:pPr>
              <w:spacing w:before="40" w:after="40" w:line="360" w:lineRule="auto"/>
              <w:rPr>
                <w:rFonts w:ascii="宋体" w:cs="宋体"/>
                <w:b/>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c>
          <w:tcPr>
            <w:tcW w:w="1190" w:type="dxa"/>
            <w:vAlign w:val="center"/>
          </w:tcPr>
          <w:p>
            <w:pPr>
              <w:spacing w:before="40" w:after="40" w:line="360" w:lineRule="auto"/>
              <w:rPr>
                <w:rFonts w:ascii="宋体" w:cs="宋体"/>
                <w:b/>
                <w:color w:val="auto"/>
                <w:szCs w:val="21"/>
                <w:highlight w:val="none"/>
              </w:rPr>
            </w:pPr>
          </w:p>
        </w:tc>
        <w:tc>
          <w:tcPr>
            <w:tcW w:w="1192" w:type="dxa"/>
            <w:vAlign w:val="center"/>
          </w:tcPr>
          <w:p>
            <w:pPr>
              <w:spacing w:before="40" w:after="40"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75" w:type="dxa"/>
            <w:gridSpan w:val="2"/>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不通过原因说明</w:t>
            </w:r>
          </w:p>
        </w:tc>
        <w:tc>
          <w:tcPr>
            <w:tcW w:w="9447" w:type="dxa"/>
            <w:gridSpan w:val="5"/>
            <w:vAlign w:val="center"/>
          </w:tcPr>
          <w:p>
            <w:pPr>
              <w:spacing w:before="40" w:after="40" w:line="360" w:lineRule="auto"/>
              <w:ind w:left="196" w:hanging="196" w:hangingChars="93"/>
              <w:rPr>
                <w:rFonts w:ascii="宋体" w:cs="宋体"/>
                <w:b/>
                <w:color w:val="auto"/>
                <w:szCs w:val="21"/>
                <w:highlight w:val="none"/>
              </w:rPr>
            </w:pPr>
          </w:p>
        </w:tc>
      </w:tr>
    </w:tbl>
    <w:p>
      <w:pPr>
        <w:spacing w:before="120" w:line="360" w:lineRule="auto"/>
        <w:rPr>
          <w:rFonts w:ascii="宋体" w:cs="宋体"/>
          <w:color w:val="auto"/>
          <w:szCs w:val="21"/>
          <w:highlight w:val="none"/>
        </w:rPr>
      </w:pPr>
      <w:r>
        <w:rPr>
          <w:rFonts w:hint="eastAsia" w:ascii="宋体" w:hAnsi="宋体" w:cs="宋体"/>
          <w:color w:val="auto"/>
          <w:szCs w:val="21"/>
          <w:highlight w:val="none"/>
        </w:rPr>
        <w:t>备注：</w:t>
      </w:r>
      <w:r>
        <w:rPr>
          <w:rFonts w:ascii="宋体" w:hAnsi="宋体" w:cs="宋体"/>
          <w:color w:val="auto"/>
          <w:szCs w:val="21"/>
          <w:highlight w:val="none"/>
        </w:rPr>
        <w:t>1</w:t>
      </w:r>
      <w:r>
        <w:rPr>
          <w:rFonts w:hint="eastAsia" w:ascii="宋体" w:hAnsi="宋体" w:cs="宋体"/>
          <w:color w:val="auto"/>
          <w:szCs w:val="21"/>
          <w:highlight w:val="none"/>
        </w:rPr>
        <w:t>．评审时评委对投标人是否满足要求逐条标注评审意见，“是”标记为“○”，“否”标记为“×”；</w:t>
      </w:r>
    </w:p>
    <w:p>
      <w:pPr>
        <w:spacing w:line="360" w:lineRule="auto"/>
        <w:ind w:firstLine="630" w:firstLineChars="3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．评审结论栏统一填写为“通过”或“不通过”，出现一个“×”为“不通过”；</w:t>
      </w:r>
    </w:p>
    <w:p>
      <w:pPr>
        <w:spacing w:line="360" w:lineRule="auto"/>
        <w:ind w:firstLine="630" w:firstLineChars="3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．对结论为“不通过”的投标人，要说明原因。</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评委签名：日期：</w:t>
      </w:r>
    </w:p>
    <w:p>
      <w:pPr>
        <w:spacing w:line="360" w:lineRule="auto"/>
        <w:rPr>
          <w:rFonts w:ascii="宋体" w:cs="宋体"/>
          <w:color w:val="auto"/>
          <w:szCs w:val="21"/>
          <w:highlight w:val="none"/>
        </w:rPr>
      </w:pPr>
    </w:p>
    <w:p>
      <w:pPr>
        <w:pStyle w:val="53"/>
        <w:rPr>
          <w:rFonts w:ascii="宋体" w:cs="宋体"/>
          <w:color w:val="auto"/>
          <w:szCs w:val="21"/>
          <w:highlight w:val="none"/>
        </w:rPr>
      </w:pPr>
    </w:p>
    <w:p>
      <w:pPr>
        <w:rPr>
          <w:rFonts w:ascii="宋体" w:cs="宋体"/>
          <w:color w:val="auto"/>
          <w:szCs w:val="21"/>
          <w:highlight w:val="none"/>
        </w:rPr>
      </w:pPr>
    </w:p>
    <w:p>
      <w:pPr>
        <w:pStyle w:val="53"/>
        <w:sectPr>
          <w:pgSz w:w="11905" w:h="16838"/>
          <w:pgMar w:top="1134" w:right="1134" w:bottom="1134" w:left="1134" w:header="794" w:footer="794" w:gutter="0"/>
          <w:cols w:space="0" w:num="1"/>
        </w:sectPr>
      </w:pPr>
    </w:p>
    <w:p>
      <w:pPr>
        <w:jc w:val="both"/>
        <w:rPr>
          <w:rFonts w:hint="eastAsia" w:ascii="宋体" w:hAnsi="宋体"/>
          <w:b/>
          <w:color w:val="000000"/>
          <w:sz w:val="28"/>
          <w:szCs w:val="28"/>
          <w:u w:val="single"/>
          <w:lang w:val="zh-CN"/>
        </w:rPr>
      </w:pPr>
      <w:r>
        <w:rPr>
          <w:rFonts w:hint="eastAsia" w:ascii="宋体" w:hAnsi="宋体" w:cs="宋体"/>
          <w:b/>
          <w:color w:val="auto"/>
          <w:szCs w:val="21"/>
          <w:highlight w:val="none"/>
        </w:rPr>
        <w:t>附表</w:t>
      </w:r>
      <w:r>
        <w:rPr>
          <w:rFonts w:ascii="宋体" w:hAnsi="宋体" w:cs="宋体"/>
          <w:b/>
          <w:color w:val="auto"/>
          <w:szCs w:val="21"/>
          <w:highlight w:val="none"/>
        </w:rPr>
        <w:t>2</w:t>
      </w:r>
      <w:r>
        <w:rPr>
          <w:rFonts w:hint="eastAsia" w:ascii="宋体" w:hAnsi="宋体" w:cs="宋体"/>
          <w:b/>
          <w:color w:val="auto"/>
          <w:szCs w:val="21"/>
          <w:highlight w:val="none"/>
        </w:rPr>
        <w:t>：（注：本表不需要投标人填写）</w:t>
      </w:r>
    </w:p>
    <w:p>
      <w:pPr>
        <w:jc w:val="center"/>
        <w:rPr>
          <w:rFonts w:hint="eastAsia" w:ascii="宋体" w:hAnsi="宋体"/>
          <w:b/>
          <w:color w:val="000000"/>
          <w:sz w:val="28"/>
          <w:szCs w:val="28"/>
          <w:u w:val="single"/>
          <w:lang w:val="zh-CN"/>
        </w:rPr>
      </w:pPr>
      <w:r>
        <w:rPr>
          <w:rFonts w:hint="eastAsia" w:ascii="宋体" w:hAnsi="宋体"/>
          <w:b/>
          <w:color w:val="000000"/>
          <w:sz w:val="28"/>
          <w:szCs w:val="28"/>
          <w:u w:val="single"/>
          <w:lang w:val="zh-CN"/>
        </w:rPr>
        <w:t>商务技术评分表</w:t>
      </w:r>
    </w:p>
    <w:p>
      <w:pPr>
        <w:pStyle w:val="2"/>
        <w:rPr>
          <w:rFonts w:hint="eastAsia" w:ascii="宋体"/>
          <w:color w:val="auto"/>
          <w:kern w:val="28"/>
          <w:sz w:val="21"/>
          <w:szCs w:val="21"/>
          <w:lang w:eastAsia="zh-CN"/>
        </w:rPr>
      </w:pPr>
      <w:r>
        <w:rPr>
          <w:rFonts w:hint="eastAsia" w:ascii="宋体" w:hAnsi="宋体"/>
          <w:color w:val="000000"/>
          <w:sz w:val="21"/>
          <w:szCs w:val="21"/>
          <w:lang w:val="zh-CN"/>
        </w:rPr>
        <w:t>项目名称：</w:t>
      </w:r>
      <w:r>
        <w:rPr>
          <w:rFonts w:hint="eastAsia" w:ascii="宋体" w:hAnsi="宋体"/>
          <w:color w:val="000000"/>
          <w:sz w:val="21"/>
          <w:szCs w:val="21"/>
          <w:lang w:val="zh-CN" w:eastAsia="zh-CN"/>
        </w:rPr>
        <w:t>中山市坦洲镇政府大院发电机购置安装项目</w:t>
      </w:r>
      <w:r>
        <w:rPr>
          <w:rFonts w:hint="eastAsia" w:ascii="宋体" w:hAnsi="宋体"/>
          <w:color w:val="000000"/>
          <w:sz w:val="21"/>
          <w:szCs w:val="21"/>
          <w:lang w:val="zh-CN"/>
        </w:rPr>
        <w:t xml:space="preserve">         </w:t>
      </w:r>
      <w:r>
        <w:rPr>
          <w:rFonts w:hint="eastAsia" w:ascii="宋体" w:hAnsi="宋体"/>
          <w:color w:val="000000"/>
          <w:sz w:val="21"/>
          <w:szCs w:val="21"/>
          <w:lang w:val="en-US" w:eastAsia="zh-CN"/>
        </w:rPr>
        <w:t xml:space="preserve">                                       </w:t>
      </w:r>
      <w:r>
        <w:rPr>
          <w:rFonts w:hint="eastAsia" w:ascii="宋体" w:hAnsi="宋体"/>
          <w:color w:val="000000"/>
          <w:sz w:val="21"/>
          <w:szCs w:val="21"/>
          <w:lang w:val="zh-CN"/>
        </w:rPr>
        <w:t xml:space="preserve">       项目编号</w:t>
      </w:r>
      <w:r>
        <w:rPr>
          <w:rFonts w:hint="eastAsia" w:ascii="宋体"/>
          <w:color w:val="auto"/>
          <w:kern w:val="28"/>
          <w:sz w:val="21"/>
          <w:szCs w:val="21"/>
          <w:lang w:val="zh-CN" w:eastAsia="zh-CN"/>
        </w:rPr>
        <w:t>：</w:t>
      </w:r>
      <w:r>
        <w:rPr>
          <w:rFonts w:hint="eastAsia" w:ascii="宋体"/>
          <w:color w:val="auto"/>
          <w:kern w:val="28"/>
          <w:sz w:val="21"/>
          <w:szCs w:val="21"/>
          <w:lang w:eastAsia="zh-CN"/>
        </w:rPr>
        <w:t>ZSJYJZ012</w:t>
      </w:r>
    </w:p>
    <w:tbl>
      <w:tblPr>
        <w:tblStyle w:val="55"/>
        <w:tblW w:w="14465"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8"/>
        <w:gridCol w:w="1673"/>
        <w:gridCol w:w="762"/>
        <w:gridCol w:w="6317"/>
        <w:gridCol w:w="1556"/>
        <w:gridCol w:w="1485"/>
        <w:gridCol w:w="1396"/>
        <w:gridCol w:w="84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 w:hRule="atLeast"/>
          <w:jc w:val="center"/>
        </w:trPr>
        <w:tc>
          <w:tcPr>
            <w:tcW w:w="428" w:type="dxa"/>
            <w:vMerge w:val="restart"/>
            <w:shd w:val="clear" w:color="auto" w:fill="D9D9D9"/>
            <w:noWrap w:val="0"/>
            <w:vAlign w:val="center"/>
          </w:tcPr>
          <w:p>
            <w:pPr>
              <w:jc w:val="center"/>
              <w:rPr>
                <w:rFonts w:ascii="宋体" w:hAnsi="宋体" w:cs="宋体"/>
                <w:b/>
                <w:bCs/>
                <w:color w:val="000000"/>
                <w:szCs w:val="21"/>
              </w:rPr>
            </w:pPr>
            <w:r>
              <w:rPr>
                <w:rFonts w:hint="eastAsia" w:ascii="宋体" w:hAnsi="宋体" w:cs="宋体"/>
                <w:b/>
                <w:bCs/>
                <w:color w:val="000000"/>
                <w:szCs w:val="21"/>
              </w:rPr>
              <w:t>序号</w:t>
            </w:r>
          </w:p>
        </w:tc>
        <w:tc>
          <w:tcPr>
            <w:tcW w:w="1673" w:type="dxa"/>
            <w:vMerge w:val="restart"/>
            <w:shd w:val="clear" w:color="auto" w:fill="D9D9D9"/>
            <w:noWrap w:val="0"/>
            <w:vAlign w:val="center"/>
          </w:tcPr>
          <w:p>
            <w:pPr>
              <w:jc w:val="center"/>
              <w:rPr>
                <w:rFonts w:hint="eastAsia" w:ascii="宋体" w:hAnsi="宋体"/>
                <w:color w:val="000000"/>
                <w:szCs w:val="21"/>
              </w:rPr>
            </w:pPr>
            <w:r>
              <w:rPr>
                <w:rFonts w:hint="eastAsia" w:ascii="宋体" w:hAnsi="宋体" w:cs="宋体"/>
                <w:b/>
                <w:bCs/>
                <w:color w:val="000000"/>
                <w:szCs w:val="21"/>
              </w:rPr>
              <w:t>评审项目</w:t>
            </w:r>
          </w:p>
        </w:tc>
        <w:tc>
          <w:tcPr>
            <w:tcW w:w="762" w:type="dxa"/>
            <w:vMerge w:val="restart"/>
            <w:shd w:val="clear" w:color="auto" w:fill="D9D9D9"/>
            <w:noWrap w:val="0"/>
            <w:vAlign w:val="center"/>
          </w:tcPr>
          <w:p>
            <w:pPr>
              <w:jc w:val="center"/>
              <w:rPr>
                <w:rFonts w:hint="eastAsia" w:ascii="宋体" w:hAnsi="宋体"/>
                <w:color w:val="000000"/>
                <w:szCs w:val="21"/>
              </w:rPr>
            </w:pPr>
            <w:r>
              <w:rPr>
                <w:rFonts w:hint="eastAsia" w:ascii="宋体" w:hAnsi="宋体" w:cs="宋体"/>
                <w:b/>
                <w:bCs/>
                <w:color w:val="000000"/>
                <w:szCs w:val="21"/>
              </w:rPr>
              <w:t>分配分数</w:t>
            </w:r>
          </w:p>
        </w:tc>
        <w:tc>
          <w:tcPr>
            <w:tcW w:w="6317" w:type="dxa"/>
            <w:vMerge w:val="restart"/>
            <w:shd w:val="clear" w:color="auto" w:fill="D9D9D9"/>
            <w:noWrap w:val="0"/>
            <w:vAlign w:val="center"/>
          </w:tcPr>
          <w:p>
            <w:pPr>
              <w:jc w:val="center"/>
              <w:rPr>
                <w:rFonts w:hint="eastAsia" w:ascii="宋体" w:hAnsi="宋体"/>
                <w:color w:val="000000"/>
                <w:szCs w:val="21"/>
              </w:rPr>
            </w:pPr>
            <w:r>
              <w:rPr>
                <w:rFonts w:hint="eastAsia" w:ascii="宋体" w:hAnsi="宋体" w:cs="宋体"/>
                <w:b/>
                <w:bCs/>
                <w:color w:val="000000"/>
                <w:szCs w:val="21"/>
              </w:rPr>
              <w:t>评议内容</w:t>
            </w:r>
          </w:p>
        </w:tc>
        <w:tc>
          <w:tcPr>
            <w:tcW w:w="4437" w:type="dxa"/>
            <w:gridSpan w:val="3"/>
            <w:shd w:val="clear" w:color="auto" w:fill="D9D9D9"/>
            <w:noWrap w:val="0"/>
            <w:vAlign w:val="center"/>
          </w:tcPr>
          <w:p>
            <w:pPr>
              <w:jc w:val="center"/>
              <w:rPr>
                <w:rFonts w:hint="eastAsia" w:ascii="宋体" w:hAnsi="宋体" w:cs="宋体"/>
                <w:b/>
                <w:bCs/>
                <w:color w:val="000000"/>
                <w:szCs w:val="21"/>
              </w:rPr>
            </w:pPr>
            <w:r>
              <w:rPr>
                <w:rFonts w:hint="eastAsia" w:ascii="宋体" w:hAnsi="宋体" w:cs="宋体"/>
                <w:b/>
                <w:bCs/>
                <w:color w:val="000000"/>
                <w:szCs w:val="21"/>
              </w:rPr>
              <w:t>评分</w:t>
            </w:r>
          </w:p>
        </w:tc>
        <w:tc>
          <w:tcPr>
            <w:tcW w:w="848" w:type="dxa"/>
            <w:vMerge w:val="restart"/>
            <w:shd w:val="clear" w:color="auto" w:fill="D9D9D9"/>
            <w:noWrap w:val="0"/>
            <w:vAlign w:val="center"/>
          </w:tcPr>
          <w:p>
            <w:pPr>
              <w:jc w:val="center"/>
              <w:rPr>
                <w:rFonts w:hint="eastAsia" w:ascii="宋体" w:hAnsi="宋体" w:cs="宋体"/>
                <w:b/>
                <w:bCs/>
                <w:color w:val="000000"/>
                <w:szCs w:val="21"/>
              </w:rPr>
            </w:pPr>
            <w:r>
              <w:rPr>
                <w:rFonts w:hint="eastAsia" w:ascii="宋体" w:hAnsi="宋体" w:cs="宋体"/>
                <w:b/>
                <w:bCs/>
                <w:color w:val="000000"/>
                <w:szCs w:val="21"/>
              </w:rPr>
              <w:t>投标人</w:t>
            </w:r>
          </w:p>
          <w:p>
            <w:pPr>
              <w:jc w:val="center"/>
              <w:rPr>
                <w:rFonts w:hint="eastAsia" w:ascii="宋体" w:hAnsi="宋体"/>
                <w:color w:val="000000"/>
                <w:szCs w:val="21"/>
              </w:rPr>
            </w:pPr>
            <w:r>
              <w:rPr>
                <w:rFonts w:ascii="宋体" w:hAnsi="宋体" w:cs="宋体"/>
                <w:b/>
                <w:bCs/>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428" w:type="dxa"/>
            <w:vMerge w:val="continue"/>
            <w:shd w:val="clear" w:color="auto" w:fill="auto"/>
            <w:noWrap w:val="0"/>
            <w:vAlign w:val="top"/>
          </w:tcPr>
          <w:p>
            <w:pPr>
              <w:jc w:val="center"/>
              <w:rPr>
                <w:rFonts w:hint="eastAsia" w:ascii="宋体" w:hAnsi="宋体"/>
                <w:color w:val="000000"/>
                <w:szCs w:val="21"/>
              </w:rPr>
            </w:pPr>
          </w:p>
        </w:tc>
        <w:tc>
          <w:tcPr>
            <w:tcW w:w="1673" w:type="dxa"/>
            <w:vMerge w:val="continue"/>
            <w:shd w:val="clear" w:color="auto" w:fill="auto"/>
            <w:noWrap w:val="0"/>
            <w:vAlign w:val="top"/>
          </w:tcPr>
          <w:p>
            <w:pPr>
              <w:jc w:val="center"/>
              <w:rPr>
                <w:rFonts w:hint="eastAsia" w:ascii="宋体" w:hAnsi="宋体"/>
                <w:color w:val="000000"/>
                <w:szCs w:val="21"/>
              </w:rPr>
            </w:pPr>
          </w:p>
        </w:tc>
        <w:tc>
          <w:tcPr>
            <w:tcW w:w="762" w:type="dxa"/>
            <w:vMerge w:val="continue"/>
            <w:shd w:val="clear" w:color="auto" w:fill="auto"/>
            <w:noWrap w:val="0"/>
            <w:vAlign w:val="top"/>
          </w:tcPr>
          <w:p>
            <w:pPr>
              <w:jc w:val="center"/>
              <w:rPr>
                <w:rFonts w:hint="eastAsia" w:ascii="宋体" w:hAnsi="宋体"/>
                <w:color w:val="000000"/>
                <w:szCs w:val="21"/>
              </w:rPr>
            </w:pPr>
          </w:p>
        </w:tc>
        <w:tc>
          <w:tcPr>
            <w:tcW w:w="6317" w:type="dxa"/>
            <w:vMerge w:val="continue"/>
            <w:shd w:val="clear" w:color="auto" w:fill="auto"/>
            <w:noWrap w:val="0"/>
            <w:vAlign w:val="top"/>
          </w:tcPr>
          <w:p>
            <w:pPr>
              <w:jc w:val="center"/>
              <w:rPr>
                <w:rFonts w:hint="eastAsia" w:ascii="宋体" w:hAnsi="宋体"/>
                <w:color w:val="000000"/>
                <w:szCs w:val="21"/>
              </w:rPr>
            </w:pPr>
          </w:p>
        </w:tc>
        <w:tc>
          <w:tcPr>
            <w:tcW w:w="1556" w:type="dxa"/>
            <w:shd w:val="clear" w:color="auto" w:fill="D9D9D9"/>
            <w:noWrap w:val="0"/>
            <w:vAlign w:val="center"/>
          </w:tcPr>
          <w:p>
            <w:pPr>
              <w:jc w:val="center"/>
              <w:rPr>
                <w:rFonts w:hint="eastAsia" w:ascii="宋体" w:hAnsi="宋体" w:cs="宋体"/>
                <w:b/>
                <w:bCs/>
                <w:color w:val="000000"/>
                <w:szCs w:val="21"/>
              </w:rPr>
            </w:pPr>
            <w:r>
              <w:rPr>
                <w:rFonts w:hint="eastAsia" w:ascii="宋体" w:hAnsi="宋体" w:cs="宋体"/>
                <w:b/>
                <w:bCs/>
                <w:color w:val="000000"/>
                <w:szCs w:val="21"/>
              </w:rPr>
              <w:t>优</w:t>
            </w:r>
          </w:p>
        </w:tc>
        <w:tc>
          <w:tcPr>
            <w:tcW w:w="1485" w:type="dxa"/>
            <w:shd w:val="clear" w:color="auto" w:fill="D9D9D9"/>
            <w:noWrap w:val="0"/>
            <w:vAlign w:val="center"/>
          </w:tcPr>
          <w:p>
            <w:pPr>
              <w:jc w:val="center"/>
              <w:rPr>
                <w:rFonts w:hint="eastAsia" w:ascii="宋体" w:hAnsi="宋体" w:cs="宋体"/>
                <w:b/>
                <w:bCs/>
                <w:color w:val="000000"/>
                <w:szCs w:val="21"/>
              </w:rPr>
            </w:pPr>
            <w:r>
              <w:rPr>
                <w:rFonts w:hint="eastAsia" w:ascii="宋体" w:hAnsi="宋体" w:cs="宋体"/>
                <w:b/>
                <w:bCs/>
                <w:color w:val="000000"/>
                <w:szCs w:val="21"/>
              </w:rPr>
              <w:t>良</w:t>
            </w:r>
          </w:p>
        </w:tc>
        <w:tc>
          <w:tcPr>
            <w:tcW w:w="1396" w:type="dxa"/>
            <w:shd w:val="clear" w:color="auto" w:fill="D9D9D9"/>
            <w:noWrap w:val="0"/>
            <w:vAlign w:val="center"/>
          </w:tcPr>
          <w:p>
            <w:pPr>
              <w:jc w:val="center"/>
              <w:rPr>
                <w:rFonts w:hint="eastAsia" w:ascii="宋体" w:hAnsi="宋体" w:cs="宋体"/>
                <w:b/>
                <w:bCs/>
                <w:color w:val="000000"/>
                <w:szCs w:val="21"/>
              </w:rPr>
            </w:pPr>
            <w:r>
              <w:rPr>
                <w:rFonts w:hint="eastAsia" w:ascii="宋体" w:hAnsi="宋体" w:cs="宋体"/>
                <w:b/>
                <w:bCs/>
                <w:color w:val="000000"/>
                <w:szCs w:val="21"/>
              </w:rPr>
              <w:t>中</w:t>
            </w:r>
          </w:p>
        </w:tc>
        <w:tc>
          <w:tcPr>
            <w:tcW w:w="848" w:type="dxa"/>
            <w:vMerge w:val="continue"/>
            <w:noWrap w:val="0"/>
            <w:vAlign w:val="top"/>
          </w:tcPr>
          <w:p>
            <w:pPr>
              <w:jc w:val="center"/>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2" w:hRule="atLeast"/>
          <w:jc w:val="center"/>
        </w:trPr>
        <w:tc>
          <w:tcPr>
            <w:tcW w:w="428" w:type="dxa"/>
            <w:noWrap w:val="0"/>
            <w:vAlign w:val="center"/>
          </w:tcPr>
          <w:p>
            <w:pPr>
              <w:jc w:val="center"/>
              <w:rPr>
                <w:rFonts w:ascii="宋体" w:hAnsi="宋体" w:cs="宋体"/>
                <w:color w:val="000000"/>
                <w:szCs w:val="21"/>
              </w:rPr>
            </w:pPr>
            <w:r>
              <w:rPr>
                <w:rFonts w:hint="eastAsia" w:ascii="宋体" w:hAnsi="宋体" w:cs="宋体"/>
                <w:color w:val="000000"/>
                <w:szCs w:val="21"/>
              </w:rPr>
              <w:t>1</w:t>
            </w:r>
          </w:p>
        </w:tc>
        <w:tc>
          <w:tcPr>
            <w:tcW w:w="1673" w:type="dxa"/>
            <w:noWrap w:val="0"/>
            <w:vAlign w:val="center"/>
          </w:tcPr>
          <w:p>
            <w:pPr>
              <w:jc w:val="center"/>
              <w:rPr>
                <w:rFonts w:hint="eastAsia" w:ascii="宋体" w:hAnsi="宋体"/>
                <w:sz w:val="18"/>
                <w:szCs w:val="18"/>
              </w:rPr>
            </w:pPr>
            <w:r>
              <w:rPr>
                <w:rFonts w:hint="eastAsia" w:ascii="宋体" w:hAnsi="宋体"/>
                <w:sz w:val="18"/>
                <w:szCs w:val="18"/>
              </w:rPr>
              <w:t>商务技术响应</w:t>
            </w:r>
          </w:p>
        </w:tc>
        <w:tc>
          <w:tcPr>
            <w:tcW w:w="762" w:type="dxa"/>
            <w:noWrap w:val="0"/>
            <w:vAlign w:val="center"/>
          </w:tcPr>
          <w:p>
            <w:pPr>
              <w:spacing w:line="360" w:lineRule="exact"/>
              <w:ind w:left="-63" w:leftChars="-30" w:right="-88" w:rightChars="-42"/>
              <w:jc w:val="center"/>
              <w:rPr>
                <w:rFonts w:hint="eastAsia" w:ascii="宋体" w:hAnsi="宋体" w:eastAsia="宋体"/>
                <w:color w:val="000000"/>
                <w:szCs w:val="21"/>
                <w:lang w:eastAsia="zh-CN"/>
              </w:rPr>
            </w:pPr>
            <w:r>
              <w:rPr>
                <w:rFonts w:hint="eastAsia" w:ascii="宋体" w:hAnsi="宋体" w:eastAsia="宋体"/>
                <w:color w:val="000000"/>
                <w:szCs w:val="21"/>
                <w:lang w:eastAsia="zh-CN"/>
              </w:rPr>
              <w:t>10</w:t>
            </w:r>
          </w:p>
        </w:tc>
        <w:tc>
          <w:tcPr>
            <w:tcW w:w="10754" w:type="dxa"/>
            <w:gridSpan w:val="4"/>
            <w:noWrap w:val="0"/>
            <w:vAlign w:val="center"/>
          </w:tcPr>
          <w:p>
            <w:pPr>
              <w:spacing w:line="276" w:lineRule="auto"/>
              <w:rPr>
                <w:rFonts w:hint="eastAsia" w:ascii="宋体" w:hAnsi="宋体"/>
                <w:sz w:val="18"/>
                <w:szCs w:val="18"/>
              </w:rPr>
            </w:pPr>
            <w:r>
              <w:rPr>
                <w:rFonts w:hint="eastAsia" w:ascii="宋体" w:hAnsi="宋体"/>
                <w:sz w:val="18"/>
                <w:szCs w:val="18"/>
              </w:rPr>
              <w:t>对用户需求书条款有一条不完全响应的扣2分，满分10分，扣完为止。</w:t>
            </w:r>
          </w:p>
        </w:tc>
        <w:tc>
          <w:tcPr>
            <w:tcW w:w="848" w:type="dxa"/>
            <w:noWrap w:val="0"/>
            <w:vAlign w:val="center"/>
          </w:tcPr>
          <w:p>
            <w:pPr>
              <w:jc w:val="center"/>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2" w:hRule="atLeast"/>
          <w:jc w:val="center"/>
        </w:trPr>
        <w:tc>
          <w:tcPr>
            <w:tcW w:w="428"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1673" w:type="dxa"/>
            <w:noWrap w:val="0"/>
            <w:vAlign w:val="center"/>
          </w:tcPr>
          <w:p>
            <w:pPr>
              <w:jc w:val="center"/>
              <w:rPr>
                <w:rFonts w:hint="eastAsia" w:ascii="宋体" w:hAnsi="宋体"/>
                <w:sz w:val="18"/>
                <w:szCs w:val="18"/>
              </w:rPr>
            </w:pPr>
            <w:r>
              <w:rPr>
                <w:rFonts w:hint="eastAsia" w:ascii="宋体" w:hAnsi="宋体"/>
                <w:sz w:val="18"/>
                <w:szCs w:val="18"/>
              </w:rPr>
              <w:t>企业实力</w:t>
            </w:r>
          </w:p>
        </w:tc>
        <w:tc>
          <w:tcPr>
            <w:tcW w:w="762" w:type="dxa"/>
            <w:noWrap w:val="0"/>
            <w:vAlign w:val="center"/>
          </w:tcPr>
          <w:p>
            <w:pPr>
              <w:spacing w:line="360" w:lineRule="exact"/>
              <w:ind w:left="-63" w:leftChars="-30" w:right="-88" w:rightChars="-42"/>
              <w:jc w:val="center"/>
              <w:rPr>
                <w:rFonts w:hint="eastAsia" w:ascii="宋体" w:hAnsi="宋体" w:eastAsia="宋体"/>
                <w:color w:val="000000"/>
                <w:szCs w:val="21"/>
                <w:lang w:eastAsia="zh-CN"/>
              </w:rPr>
            </w:pPr>
            <w:r>
              <w:rPr>
                <w:rFonts w:hint="eastAsia" w:ascii="宋体" w:hAnsi="宋体" w:eastAsia="宋体"/>
                <w:color w:val="000000"/>
                <w:szCs w:val="21"/>
                <w:lang w:val="en-US" w:eastAsia="zh-CN"/>
              </w:rPr>
              <w:t>9</w:t>
            </w:r>
          </w:p>
        </w:tc>
        <w:tc>
          <w:tcPr>
            <w:tcW w:w="10754" w:type="dxa"/>
            <w:gridSpan w:val="4"/>
            <w:noWrap w:val="0"/>
            <w:vAlign w:val="center"/>
          </w:tcPr>
          <w:p>
            <w:pPr>
              <w:spacing w:line="276" w:lineRule="auto"/>
              <w:rPr>
                <w:rFonts w:hint="eastAsia" w:ascii="宋体" w:hAnsi="宋体"/>
                <w:sz w:val="18"/>
                <w:szCs w:val="18"/>
              </w:rPr>
            </w:pPr>
            <w:r>
              <w:rPr>
                <w:rFonts w:hint="eastAsia" w:ascii="宋体" w:hAnsi="宋体"/>
                <w:sz w:val="18"/>
                <w:szCs w:val="18"/>
              </w:rPr>
              <w:t>具有质量管理体系认证得3分；具有环境管理体系认证得3分；具有职业健康安全管理体系得</w:t>
            </w:r>
            <w:r>
              <w:rPr>
                <w:rFonts w:hint="eastAsia" w:ascii="宋体" w:hAnsi="宋体"/>
                <w:sz w:val="18"/>
                <w:szCs w:val="18"/>
                <w:lang w:val="en-US" w:eastAsia="zh-CN"/>
              </w:rPr>
              <w:t>3</w:t>
            </w:r>
            <w:r>
              <w:rPr>
                <w:rFonts w:hint="eastAsia" w:ascii="宋体" w:hAnsi="宋体"/>
                <w:sz w:val="18"/>
                <w:szCs w:val="18"/>
              </w:rPr>
              <w:t>分；</w:t>
            </w:r>
          </w:p>
          <w:p>
            <w:pPr>
              <w:spacing w:line="276" w:lineRule="auto"/>
              <w:rPr>
                <w:rFonts w:hint="eastAsia" w:ascii="宋体" w:hAnsi="宋体"/>
                <w:sz w:val="18"/>
                <w:szCs w:val="18"/>
              </w:rPr>
            </w:pPr>
            <w:r>
              <w:rPr>
                <w:rFonts w:hint="eastAsia" w:ascii="宋体" w:hAnsi="宋体"/>
                <w:sz w:val="18"/>
                <w:szCs w:val="18"/>
              </w:rPr>
              <w:t>最高得分为10分，没有的不得分。</w:t>
            </w:r>
          </w:p>
          <w:p>
            <w:pPr>
              <w:spacing w:line="276" w:lineRule="auto"/>
              <w:rPr>
                <w:rFonts w:hint="eastAsia" w:ascii="宋体" w:hAnsi="宋体"/>
                <w:sz w:val="18"/>
                <w:szCs w:val="18"/>
              </w:rPr>
            </w:pPr>
            <w:r>
              <w:rPr>
                <w:rFonts w:hint="eastAsia" w:ascii="宋体" w:hAnsi="宋体"/>
                <w:sz w:val="18"/>
                <w:szCs w:val="18"/>
              </w:rPr>
              <w:t>注：</w:t>
            </w:r>
            <w:r>
              <w:rPr>
                <w:rFonts w:hint="eastAsia" w:ascii="宋体" w:hAnsi="宋体"/>
                <w:sz w:val="18"/>
                <w:szCs w:val="18"/>
                <w:lang w:eastAsia="zh-CN"/>
              </w:rPr>
              <w:t>提供相关证书</w:t>
            </w:r>
            <w:r>
              <w:rPr>
                <w:rFonts w:hint="eastAsia" w:ascii="宋体" w:hAnsi="宋体"/>
                <w:sz w:val="18"/>
                <w:szCs w:val="18"/>
              </w:rPr>
              <w:t>复印件加盖公章，原件备查</w:t>
            </w:r>
            <w:r>
              <w:rPr>
                <w:rFonts w:hint="eastAsia" w:ascii="宋体" w:hAnsi="宋体"/>
                <w:sz w:val="18"/>
                <w:szCs w:val="18"/>
                <w:lang w:eastAsia="zh-CN"/>
              </w:rPr>
              <w:t>，不提供原件不得分。</w:t>
            </w:r>
          </w:p>
        </w:tc>
        <w:tc>
          <w:tcPr>
            <w:tcW w:w="848" w:type="dxa"/>
            <w:noWrap w:val="0"/>
            <w:vAlign w:val="center"/>
          </w:tcPr>
          <w:p>
            <w:pPr>
              <w:jc w:val="center"/>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95" w:hRule="atLeast"/>
          <w:jc w:val="center"/>
        </w:trPr>
        <w:tc>
          <w:tcPr>
            <w:tcW w:w="428" w:type="dxa"/>
            <w:noWrap w:val="0"/>
            <w:vAlign w:val="center"/>
          </w:tcPr>
          <w:p>
            <w:pPr>
              <w:jc w:val="center"/>
              <w:rPr>
                <w:rFonts w:ascii="宋体" w:hAnsi="宋体" w:cs="宋体"/>
                <w:color w:val="000000"/>
                <w:szCs w:val="21"/>
              </w:rPr>
            </w:pPr>
            <w:r>
              <w:rPr>
                <w:rFonts w:hint="eastAsia" w:ascii="宋体" w:hAnsi="宋体" w:cs="宋体"/>
                <w:color w:val="000000"/>
                <w:szCs w:val="21"/>
              </w:rPr>
              <w:t>3</w:t>
            </w:r>
          </w:p>
        </w:tc>
        <w:tc>
          <w:tcPr>
            <w:tcW w:w="1673" w:type="dxa"/>
            <w:noWrap w:val="0"/>
            <w:vAlign w:val="center"/>
          </w:tcPr>
          <w:p>
            <w:pPr>
              <w:jc w:val="center"/>
              <w:rPr>
                <w:rFonts w:hint="eastAsia" w:ascii="宋体" w:hAnsi="宋体"/>
                <w:sz w:val="18"/>
                <w:szCs w:val="18"/>
              </w:rPr>
            </w:pPr>
            <w:r>
              <w:rPr>
                <w:rFonts w:hint="eastAsia" w:ascii="宋体" w:hAnsi="宋体"/>
                <w:sz w:val="18"/>
                <w:szCs w:val="18"/>
              </w:rPr>
              <w:t>投标人</w:t>
            </w:r>
          </w:p>
          <w:p>
            <w:pPr>
              <w:jc w:val="center"/>
              <w:rPr>
                <w:rFonts w:hint="eastAsia" w:ascii="宋体" w:hAnsi="宋体"/>
                <w:sz w:val="18"/>
                <w:szCs w:val="18"/>
              </w:rPr>
            </w:pPr>
            <w:r>
              <w:rPr>
                <w:rFonts w:hint="eastAsia" w:ascii="宋体" w:hAnsi="宋体"/>
                <w:sz w:val="18"/>
                <w:szCs w:val="18"/>
              </w:rPr>
              <w:t>诚信状况</w:t>
            </w:r>
          </w:p>
        </w:tc>
        <w:tc>
          <w:tcPr>
            <w:tcW w:w="762" w:type="dxa"/>
            <w:noWrap w:val="0"/>
            <w:vAlign w:val="center"/>
          </w:tcPr>
          <w:p>
            <w:pPr>
              <w:spacing w:line="360" w:lineRule="exact"/>
              <w:ind w:left="-63" w:leftChars="-30" w:right="-88" w:rightChars="-42"/>
              <w:jc w:val="center"/>
              <w:rPr>
                <w:rFonts w:hint="eastAsia" w:ascii="宋体" w:hAnsi="宋体" w:eastAsia="宋体"/>
                <w:color w:val="000000"/>
                <w:szCs w:val="21"/>
                <w:lang w:eastAsia="zh-CN"/>
              </w:rPr>
            </w:pPr>
            <w:r>
              <w:rPr>
                <w:rFonts w:hint="eastAsia" w:ascii="宋体" w:hAnsi="宋体"/>
                <w:color w:val="000000"/>
                <w:szCs w:val="21"/>
                <w:lang w:val="en-US" w:eastAsia="zh-CN"/>
              </w:rPr>
              <w:t>6</w:t>
            </w:r>
          </w:p>
        </w:tc>
        <w:tc>
          <w:tcPr>
            <w:tcW w:w="10754" w:type="dxa"/>
            <w:gridSpan w:val="4"/>
            <w:noWrap w:val="0"/>
            <w:vAlign w:val="center"/>
          </w:tcPr>
          <w:p>
            <w:pPr>
              <w:spacing w:line="276" w:lineRule="auto"/>
              <w:rPr>
                <w:rFonts w:hint="eastAsia" w:ascii="宋体" w:hAnsi="宋体"/>
                <w:sz w:val="18"/>
                <w:szCs w:val="18"/>
              </w:rPr>
            </w:pPr>
            <w:r>
              <w:rPr>
                <w:rFonts w:hint="eastAsia" w:ascii="宋体" w:hAnsi="宋体"/>
                <w:sz w:val="18"/>
                <w:szCs w:val="18"/>
                <w:lang w:val="en-US" w:eastAsia="zh-CN"/>
              </w:rPr>
              <w:t>投标人须提供包含近三年信用数据信用报告（信用报告须在有效期内，信用记录主体成立不足三年的以成立时间为起点），评委根据信用报告上载明的信用等级进行评审。信用报告必须由合法第三方信用服务机构或中国人民银行出具，供应商须附上该信用机构在法律法规规定的监管部门或行业主管部门（中国人民银行等部门）进行备案的相关证明资料。2.“信用报告”需在投标（响应）文件中提供复印件；“信用机构在监管部门或行业主管部门进行备案的相关证明资料”需在投标文件中提供复印件，未按要求提供的不得分。</w:t>
            </w:r>
          </w:p>
        </w:tc>
        <w:tc>
          <w:tcPr>
            <w:tcW w:w="848" w:type="dxa"/>
            <w:noWrap w:val="0"/>
            <w:vAlign w:val="center"/>
          </w:tcPr>
          <w:p>
            <w:pPr>
              <w:jc w:val="center"/>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95" w:hRule="atLeast"/>
          <w:jc w:val="center"/>
        </w:trPr>
        <w:tc>
          <w:tcPr>
            <w:tcW w:w="428"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4</w:t>
            </w:r>
          </w:p>
        </w:tc>
        <w:tc>
          <w:tcPr>
            <w:tcW w:w="1673" w:type="dxa"/>
            <w:noWrap w:val="0"/>
            <w:vAlign w:val="center"/>
          </w:tcPr>
          <w:p>
            <w:pPr>
              <w:jc w:val="center"/>
              <w:rPr>
                <w:rFonts w:hint="eastAsia" w:ascii="宋体" w:hAnsi="宋体"/>
                <w:sz w:val="18"/>
                <w:szCs w:val="18"/>
              </w:rPr>
            </w:pPr>
            <w:r>
              <w:rPr>
                <w:rFonts w:hint="eastAsia" w:ascii="宋体" w:hAnsi="宋体"/>
                <w:sz w:val="18"/>
                <w:szCs w:val="18"/>
              </w:rPr>
              <w:t>主要技术人员资质情况</w:t>
            </w:r>
          </w:p>
        </w:tc>
        <w:tc>
          <w:tcPr>
            <w:tcW w:w="762" w:type="dxa"/>
            <w:noWrap w:val="0"/>
            <w:vAlign w:val="center"/>
          </w:tcPr>
          <w:p>
            <w:pPr>
              <w:spacing w:line="360" w:lineRule="exact"/>
              <w:ind w:left="-63" w:leftChars="-30" w:right="-88" w:rightChars="-42"/>
              <w:jc w:val="center"/>
              <w:rPr>
                <w:rFonts w:hint="eastAsia" w:ascii="宋体" w:hAnsi="宋体" w:eastAsia="宋体"/>
                <w:color w:val="000000"/>
                <w:szCs w:val="21"/>
                <w:lang w:eastAsia="zh-CN"/>
              </w:rPr>
            </w:pPr>
            <w:r>
              <w:rPr>
                <w:rFonts w:hint="eastAsia" w:ascii="宋体" w:hAnsi="宋体" w:eastAsia="宋体"/>
                <w:color w:val="000000"/>
                <w:szCs w:val="21"/>
                <w:lang w:eastAsia="zh-CN"/>
              </w:rPr>
              <w:t>10</w:t>
            </w:r>
          </w:p>
        </w:tc>
        <w:tc>
          <w:tcPr>
            <w:tcW w:w="6317" w:type="dxa"/>
            <w:noWrap w:val="0"/>
            <w:vAlign w:val="center"/>
          </w:tcPr>
          <w:p>
            <w:pPr>
              <w:spacing w:line="276" w:lineRule="auto"/>
              <w:rPr>
                <w:rFonts w:hint="eastAsia" w:ascii="宋体" w:hAnsi="宋体"/>
                <w:sz w:val="18"/>
                <w:szCs w:val="18"/>
              </w:rPr>
            </w:pPr>
            <w:r>
              <w:rPr>
                <w:rFonts w:hint="eastAsia" w:ascii="宋体" w:hAnsi="宋体"/>
                <w:sz w:val="18"/>
                <w:szCs w:val="18"/>
              </w:rPr>
              <w:t>项目实施技术人员（学历、资格证书、技术能力等）；</w:t>
            </w:r>
          </w:p>
          <w:p>
            <w:pPr>
              <w:spacing w:line="276" w:lineRule="auto"/>
              <w:rPr>
                <w:rFonts w:hint="eastAsia" w:ascii="宋体" w:hAnsi="宋体"/>
                <w:sz w:val="18"/>
                <w:szCs w:val="18"/>
              </w:rPr>
            </w:pPr>
            <w:r>
              <w:rPr>
                <w:rFonts w:hint="eastAsia" w:ascii="宋体" w:hAnsi="宋体"/>
                <w:sz w:val="18"/>
                <w:szCs w:val="18"/>
              </w:rPr>
              <w:t>注：投标文件中提供证书复印件，投标时提供原件供评委查验，未按要求提供的不得分。</w:t>
            </w:r>
          </w:p>
        </w:tc>
        <w:tc>
          <w:tcPr>
            <w:tcW w:w="1556" w:type="dxa"/>
            <w:noWrap w:val="0"/>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10</w:t>
            </w:r>
          </w:p>
        </w:tc>
        <w:tc>
          <w:tcPr>
            <w:tcW w:w="1485" w:type="dxa"/>
            <w:noWrap w:val="0"/>
            <w:vAlign w:val="center"/>
          </w:tcPr>
          <w:p>
            <w:pPr>
              <w:spacing w:line="276" w:lineRule="auto"/>
              <w:jc w:val="center"/>
              <w:rPr>
                <w:rFonts w:hint="eastAsia" w:ascii="宋体" w:hAnsi="宋体"/>
                <w:sz w:val="18"/>
                <w:szCs w:val="18"/>
                <w:lang w:val="en-US" w:eastAsia="zh-CN"/>
              </w:rPr>
            </w:pPr>
            <w:r>
              <w:rPr>
                <w:rFonts w:hint="eastAsia" w:ascii="宋体" w:hAnsi="宋体"/>
                <w:sz w:val="18"/>
                <w:szCs w:val="18"/>
                <w:lang w:val="en-US" w:eastAsia="zh-CN"/>
              </w:rPr>
              <w:t>8</w:t>
            </w:r>
          </w:p>
        </w:tc>
        <w:tc>
          <w:tcPr>
            <w:tcW w:w="1396" w:type="dxa"/>
            <w:noWrap w:val="0"/>
            <w:vAlign w:val="center"/>
          </w:tcPr>
          <w:p>
            <w:pPr>
              <w:spacing w:line="276" w:lineRule="auto"/>
              <w:jc w:val="center"/>
              <w:rPr>
                <w:rFonts w:hint="eastAsia" w:ascii="宋体" w:hAnsi="宋体"/>
                <w:sz w:val="18"/>
                <w:szCs w:val="18"/>
                <w:lang w:val="en-US" w:eastAsia="zh-CN"/>
              </w:rPr>
            </w:pPr>
            <w:r>
              <w:rPr>
                <w:rFonts w:hint="eastAsia" w:ascii="宋体" w:hAnsi="宋体"/>
                <w:sz w:val="18"/>
                <w:szCs w:val="18"/>
                <w:lang w:val="en-US" w:eastAsia="zh-CN"/>
              </w:rPr>
              <w:t>6</w:t>
            </w:r>
          </w:p>
        </w:tc>
        <w:tc>
          <w:tcPr>
            <w:tcW w:w="848" w:type="dxa"/>
            <w:noWrap w:val="0"/>
            <w:vAlign w:val="center"/>
          </w:tcPr>
          <w:p>
            <w:pPr>
              <w:jc w:val="center"/>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9" w:hRule="atLeast"/>
          <w:jc w:val="center"/>
        </w:trPr>
        <w:tc>
          <w:tcPr>
            <w:tcW w:w="428"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5</w:t>
            </w:r>
          </w:p>
        </w:tc>
        <w:tc>
          <w:tcPr>
            <w:tcW w:w="1673" w:type="dxa"/>
            <w:noWrap w:val="0"/>
            <w:vAlign w:val="center"/>
          </w:tcPr>
          <w:p>
            <w:pPr>
              <w:jc w:val="center"/>
              <w:rPr>
                <w:rFonts w:hint="eastAsia" w:ascii="宋体" w:hAnsi="宋体"/>
                <w:sz w:val="18"/>
                <w:szCs w:val="18"/>
              </w:rPr>
            </w:pPr>
            <w:r>
              <w:rPr>
                <w:rFonts w:hint="eastAsia" w:ascii="宋体" w:hAnsi="宋体"/>
                <w:sz w:val="18"/>
                <w:szCs w:val="18"/>
              </w:rPr>
              <w:t>同类业绩经验</w:t>
            </w:r>
          </w:p>
        </w:tc>
        <w:tc>
          <w:tcPr>
            <w:tcW w:w="762" w:type="dxa"/>
            <w:noWrap w:val="0"/>
            <w:vAlign w:val="center"/>
          </w:tcPr>
          <w:p>
            <w:pPr>
              <w:spacing w:line="360" w:lineRule="exact"/>
              <w:ind w:left="-63" w:leftChars="-30" w:right="-88" w:rightChars="-42"/>
              <w:jc w:val="center"/>
              <w:rPr>
                <w:rFonts w:hint="default" w:ascii="宋体" w:hAnsi="宋体" w:eastAsia="宋体"/>
                <w:color w:val="000000"/>
                <w:szCs w:val="21"/>
                <w:lang w:val="en-US" w:eastAsia="zh-CN"/>
              </w:rPr>
            </w:pPr>
            <w:r>
              <w:rPr>
                <w:rFonts w:hint="eastAsia" w:ascii="宋体" w:hAnsi="宋体"/>
                <w:color w:val="000000"/>
                <w:szCs w:val="21"/>
                <w:lang w:val="en-US" w:eastAsia="zh-CN"/>
              </w:rPr>
              <w:t>15</w:t>
            </w:r>
          </w:p>
        </w:tc>
        <w:tc>
          <w:tcPr>
            <w:tcW w:w="10754" w:type="dxa"/>
            <w:gridSpan w:val="4"/>
            <w:noWrap w:val="0"/>
            <w:vAlign w:val="center"/>
          </w:tcPr>
          <w:p>
            <w:pPr>
              <w:spacing w:line="276" w:lineRule="auto"/>
              <w:rPr>
                <w:rFonts w:hint="eastAsia" w:ascii="宋体" w:hAnsi="宋体"/>
                <w:sz w:val="18"/>
                <w:szCs w:val="18"/>
              </w:rPr>
            </w:pPr>
            <w:r>
              <w:rPr>
                <w:rFonts w:hint="eastAsia" w:ascii="宋体" w:hAnsi="宋体"/>
                <w:sz w:val="18"/>
                <w:szCs w:val="18"/>
              </w:rPr>
              <w:t>供应商</w:t>
            </w:r>
            <w:r>
              <w:rPr>
                <w:rFonts w:hint="eastAsia" w:ascii="宋体" w:hAnsi="宋体"/>
                <w:sz w:val="18"/>
                <w:szCs w:val="18"/>
                <w:lang w:eastAsia="zh-CN"/>
              </w:rPr>
              <w:t>从</w:t>
            </w:r>
            <w:r>
              <w:rPr>
                <w:rFonts w:hint="eastAsia" w:ascii="宋体" w:hAnsi="宋体"/>
                <w:sz w:val="18"/>
                <w:szCs w:val="18"/>
                <w:lang w:val="en-US" w:eastAsia="zh-CN"/>
              </w:rPr>
              <w:t>2015年1月至今</w:t>
            </w:r>
            <w:r>
              <w:rPr>
                <w:rFonts w:hint="eastAsia" w:ascii="宋体" w:hAnsi="宋体"/>
                <w:sz w:val="18"/>
                <w:szCs w:val="18"/>
              </w:rPr>
              <w:t>承接的柴油发电机供货项目，</w:t>
            </w:r>
            <w:r>
              <w:rPr>
                <w:rFonts w:hint="eastAsia" w:ascii="宋体" w:hAnsi="宋体"/>
                <w:sz w:val="18"/>
                <w:szCs w:val="18"/>
                <w:lang w:eastAsia="zh-CN"/>
              </w:rPr>
              <w:t>单个合同金额</w:t>
            </w:r>
            <w:r>
              <w:rPr>
                <w:rFonts w:hint="eastAsia" w:ascii="宋体" w:hAnsi="宋体"/>
                <w:sz w:val="18"/>
                <w:szCs w:val="18"/>
              </w:rPr>
              <w:t>达到人民币</w:t>
            </w:r>
            <w:r>
              <w:rPr>
                <w:rFonts w:hint="eastAsia" w:ascii="宋体" w:hAnsi="宋体"/>
                <w:sz w:val="18"/>
                <w:szCs w:val="18"/>
                <w:lang w:val="en-US" w:eastAsia="zh-CN"/>
              </w:rPr>
              <w:t>49</w:t>
            </w:r>
            <w:r>
              <w:rPr>
                <w:rFonts w:hint="eastAsia" w:ascii="宋体" w:hAnsi="宋体"/>
                <w:sz w:val="18"/>
                <w:szCs w:val="18"/>
              </w:rPr>
              <w:t>万元或以上的，每</w:t>
            </w:r>
            <w:r>
              <w:rPr>
                <w:rFonts w:hint="eastAsia" w:ascii="宋体" w:hAnsi="宋体"/>
                <w:sz w:val="18"/>
                <w:szCs w:val="18"/>
                <w:lang w:eastAsia="zh-CN"/>
              </w:rPr>
              <w:t>个合同</w:t>
            </w:r>
            <w:r>
              <w:rPr>
                <w:rFonts w:hint="eastAsia" w:ascii="宋体" w:hAnsi="宋体"/>
                <w:sz w:val="18"/>
                <w:szCs w:val="18"/>
              </w:rPr>
              <w:t>得</w:t>
            </w:r>
            <w:r>
              <w:rPr>
                <w:rFonts w:hint="eastAsia" w:ascii="宋体" w:hAnsi="宋体"/>
                <w:sz w:val="18"/>
                <w:szCs w:val="18"/>
                <w:lang w:val="en-US" w:eastAsia="zh-CN"/>
              </w:rPr>
              <w:t>3</w:t>
            </w:r>
            <w:r>
              <w:rPr>
                <w:rFonts w:hint="eastAsia" w:ascii="宋体" w:hAnsi="宋体"/>
                <w:sz w:val="18"/>
                <w:szCs w:val="18"/>
              </w:rPr>
              <w:t>分，本小项满分</w:t>
            </w:r>
            <w:r>
              <w:rPr>
                <w:rFonts w:hint="eastAsia" w:ascii="宋体" w:hAnsi="宋体"/>
                <w:sz w:val="18"/>
                <w:szCs w:val="18"/>
                <w:lang w:val="en-US" w:eastAsia="zh-CN"/>
              </w:rPr>
              <w:t>15</w:t>
            </w:r>
            <w:r>
              <w:rPr>
                <w:rFonts w:hint="eastAsia" w:ascii="宋体" w:hAnsi="宋体"/>
                <w:sz w:val="18"/>
                <w:szCs w:val="18"/>
              </w:rPr>
              <w:t>分。</w:t>
            </w:r>
          </w:p>
          <w:p>
            <w:pPr>
              <w:spacing w:line="276" w:lineRule="auto"/>
              <w:rPr>
                <w:rFonts w:hint="eastAsia" w:ascii="宋体" w:hAnsi="宋体"/>
                <w:sz w:val="18"/>
                <w:szCs w:val="18"/>
              </w:rPr>
            </w:pPr>
            <w:r>
              <w:rPr>
                <w:rFonts w:hint="eastAsia" w:ascii="宋体" w:hAnsi="宋体"/>
                <w:sz w:val="18"/>
                <w:szCs w:val="18"/>
              </w:rPr>
              <w:t>注：投标文件中提供合同复印件，递交投标文件时提供原件供评委查验，未按要求提供的不得分。</w:t>
            </w:r>
          </w:p>
        </w:tc>
        <w:tc>
          <w:tcPr>
            <w:tcW w:w="848" w:type="dxa"/>
            <w:noWrap w:val="0"/>
            <w:vAlign w:val="center"/>
          </w:tcPr>
          <w:p>
            <w:pPr>
              <w:jc w:val="center"/>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2" w:hRule="atLeast"/>
          <w:jc w:val="center"/>
        </w:trPr>
        <w:tc>
          <w:tcPr>
            <w:tcW w:w="428" w:type="dxa"/>
            <w:noWrap w:val="0"/>
            <w:vAlign w:val="center"/>
          </w:tcPr>
          <w:p>
            <w:pPr>
              <w:jc w:val="center"/>
              <w:rPr>
                <w:rFonts w:hint="eastAsia" w:ascii="宋体" w:hAnsi="宋体"/>
                <w:color w:val="000000"/>
                <w:szCs w:val="21"/>
              </w:rPr>
            </w:pPr>
            <w:r>
              <w:rPr>
                <w:rFonts w:hint="eastAsia" w:ascii="宋体" w:hAnsi="宋体"/>
                <w:color w:val="000000"/>
                <w:szCs w:val="21"/>
              </w:rPr>
              <w:t>6</w:t>
            </w:r>
          </w:p>
        </w:tc>
        <w:tc>
          <w:tcPr>
            <w:tcW w:w="1673" w:type="dxa"/>
            <w:noWrap w:val="0"/>
            <w:vAlign w:val="center"/>
          </w:tcPr>
          <w:p>
            <w:pPr>
              <w:jc w:val="center"/>
              <w:rPr>
                <w:rFonts w:hint="eastAsia" w:ascii="宋体" w:hAnsi="宋体"/>
                <w:sz w:val="18"/>
                <w:szCs w:val="18"/>
              </w:rPr>
            </w:pPr>
            <w:r>
              <w:rPr>
                <w:rFonts w:hint="eastAsia" w:ascii="宋体" w:hAnsi="宋体"/>
                <w:sz w:val="18"/>
                <w:szCs w:val="18"/>
              </w:rPr>
              <w:t>货物技术参数和性能指标响应情况</w:t>
            </w:r>
          </w:p>
        </w:tc>
        <w:tc>
          <w:tcPr>
            <w:tcW w:w="762" w:type="dxa"/>
            <w:noWrap w:val="0"/>
            <w:vAlign w:val="center"/>
          </w:tcPr>
          <w:p>
            <w:pPr>
              <w:spacing w:line="360" w:lineRule="exact"/>
              <w:ind w:left="-63" w:leftChars="-30" w:right="-88" w:rightChars="-42"/>
              <w:jc w:val="center"/>
              <w:rPr>
                <w:rFonts w:hint="eastAsia" w:ascii="宋体" w:hAnsi="宋体" w:eastAsia="宋体"/>
                <w:color w:val="000000"/>
                <w:szCs w:val="21"/>
                <w:lang w:eastAsia="zh-CN"/>
              </w:rPr>
            </w:pPr>
            <w:r>
              <w:rPr>
                <w:rFonts w:hint="eastAsia" w:ascii="宋体" w:hAnsi="宋体" w:eastAsia="宋体"/>
                <w:color w:val="000000"/>
                <w:szCs w:val="21"/>
                <w:lang w:eastAsia="zh-CN"/>
              </w:rPr>
              <w:t>25</w:t>
            </w:r>
          </w:p>
        </w:tc>
        <w:tc>
          <w:tcPr>
            <w:tcW w:w="6317" w:type="dxa"/>
            <w:noWrap w:val="0"/>
            <w:vAlign w:val="center"/>
          </w:tcPr>
          <w:p>
            <w:pPr>
              <w:spacing w:line="276" w:lineRule="auto"/>
              <w:rPr>
                <w:rFonts w:hint="eastAsia" w:ascii="宋体" w:hAnsi="宋体"/>
                <w:sz w:val="18"/>
                <w:szCs w:val="18"/>
              </w:rPr>
            </w:pPr>
            <w:r>
              <w:rPr>
                <w:rFonts w:hint="eastAsia" w:ascii="宋体" w:hAnsi="宋体"/>
                <w:sz w:val="18"/>
                <w:szCs w:val="18"/>
              </w:rPr>
              <w:t>优：设备质量优良，高于招标文件的要求，性能先进，稳定性好，可靠性高，使用简便；</w:t>
            </w:r>
          </w:p>
          <w:p>
            <w:pPr>
              <w:spacing w:line="276" w:lineRule="auto"/>
              <w:rPr>
                <w:rFonts w:hint="eastAsia" w:ascii="宋体" w:hAnsi="宋体"/>
                <w:sz w:val="18"/>
                <w:szCs w:val="18"/>
              </w:rPr>
            </w:pPr>
            <w:r>
              <w:rPr>
                <w:rFonts w:hint="eastAsia" w:ascii="宋体" w:hAnsi="宋体"/>
                <w:sz w:val="18"/>
                <w:szCs w:val="18"/>
              </w:rPr>
              <w:t>良：设备质量较好，符合招标文件要求，性能比较先进，稳定性比较好，可靠性比较高，使用较简便；</w:t>
            </w:r>
          </w:p>
          <w:p>
            <w:pPr>
              <w:spacing w:line="276" w:lineRule="auto"/>
              <w:rPr>
                <w:rFonts w:hint="eastAsia" w:ascii="宋体" w:hAnsi="宋体"/>
                <w:sz w:val="18"/>
                <w:szCs w:val="18"/>
                <w:lang w:eastAsia="zh-CN"/>
              </w:rPr>
            </w:pPr>
            <w:r>
              <w:rPr>
                <w:rFonts w:hint="eastAsia" w:ascii="宋体" w:hAnsi="宋体"/>
                <w:sz w:val="18"/>
                <w:szCs w:val="18"/>
              </w:rPr>
              <w:t>中：设备质量一般，基本符合招标文件要求，性能一般，稳定性一般，可靠性一般，使用较简便；</w:t>
            </w:r>
          </w:p>
        </w:tc>
        <w:tc>
          <w:tcPr>
            <w:tcW w:w="1556" w:type="dxa"/>
            <w:noWrap w:val="0"/>
            <w:vAlign w:val="center"/>
          </w:tcPr>
          <w:p>
            <w:pPr>
              <w:spacing w:line="276" w:lineRule="auto"/>
              <w:jc w:val="center"/>
              <w:rPr>
                <w:rFonts w:hint="default" w:ascii="宋体" w:hAnsi="宋体" w:eastAsia="宋体"/>
                <w:sz w:val="18"/>
                <w:szCs w:val="18"/>
                <w:lang w:val="en-US" w:eastAsia="zh-CN"/>
              </w:rPr>
            </w:pPr>
            <w:r>
              <w:rPr>
                <w:rFonts w:hint="eastAsia" w:ascii="宋体" w:hAnsi="宋体"/>
                <w:sz w:val="18"/>
                <w:szCs w:val="18"/>
                <w:lang w:val="en-US" w:eastAsia="zh-CN"/>
              </w:rPr>
              <w:t>25</w:t>
            </w:r>
          </w:p>
        </w:tc>
        <w:tc>
          <w:tcPr>
            <w:tcW w:w="1485" w:type="dxa"/>
            <w:noWrap w:val="0"/>
            <w:vAlign w:val="center"/>
          </w:tcPr>
          <w:p>
            <w:pPr>
              <w:spacing w:line="276" w:lineRule="auto"/>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1396" w:type="dxa"/>
            <w:noWrap w:val="0"/>
            <w:vAlign w:val="center"/>
          </w:tcPr>
          <w:p>
            <w:pPr>
              <w:spacing w:line="276" w:lineRule="auto"/>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848" w:type="dxa"/>
            <w:noWrap w:val="0"/>
            <w:vAlign w:val="center"/>
          </w:tcPr>
          <w:p>
            <w:pPr>
              <w:jc w:val="center"/>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95" w:hRule="atLeast"/>
          <w:jc w:val="center"/>
        </w:trPr>
        <w:tc>
          <w:tcPr>
            <w:tcW w:w="428" w:type="dxa"/>
            <w:noWrap w:val="0"/>
            <w:vAlign w:val="center"/>
          </w:tcPr>
          <w:p>
            <w:pPr>
              <w:jc w:val="center"/>
              <w:rPr>
                <w:rFonts w:hint="eastAsia" w:ascii="宋体" w:hAnsi="宋体"/>
                <w:color w:val="000000"/>
                <w:szCs w:val="21"/>
              </w:rPr>
            </w:pPr>
            <w:r>
              <w:rPr>
                <w:rFonts w:hint="eastAsia" w:ascii="宋体" w:hAnsi="宋体"/>
                <w:color w:val="000000"/>
                <w:szCs w:val="21"/>
              </w:rPr>
              <w:t>7</w:t>
            </w:r>
          </w:p>
        </w:tc>
        <w:tc>
          <w:tcPr>
            <w:tcW w:w="1673" w:type="dxa"/>
            <w:noWrap w:val="0"/>
            <w:vAlign w:val="center"/>
          </w:tcPr>
          <w:p>
            <w:pPr>
              <w:jc w:val="center"/>
              <w:rPr>
                <w:rFonts w:hint="eastAsia" w:ascii="宋体" w:hAnsi="宋体"/>
                <w:szCs w:val="21"/>
              </w:rPr>
            </w:pPr>
            <w:r>
              <w:rPr>
                <w:rFonts w:hint="eastAsia" w:ascii="宋体" w:hAnsi="宋体" w:cs="宋体"/>
                <w:sz w:val="18"/>
                <w:szCs w:val="18"/>
              </w:rPr>
              <w:t>安装、检测、验收、培训计划</w:t>
            </w:r>
          </w:p>
        </w:tc>
        <w:tc>
          <w:tcPr>
            <w:tcW w:w="762" w:type="dxa"/>
            <w:noWrap w:val="0"/>
            <w:vAlign w:val="center"/>
          </w:tcPr>
          <w:p>
            <w:pPr>
              <w:spacing w:line="360" w:lineRule="exact"/>
              <w:ind w:left="-63" w:leftChars="-30" w:right="-88" w:rightChars="-42"/>
              <w:jc w:val="center"/>
              <w:rPr>
                <w:rFonts w:hint="eastAsia" w:ascii="宋体" w:hAnsi="宋体" w:eastAsia="宋体"/>
                <w:color w:val="000000"/>
                <w:szCs w:val="21"/>
                <w:lang w:eastAsia="zh-CN"/>
              </w:rPr>
            </w:pPr>
            <w:r>
              <w:rPr>
                <w:rFonts w:hint="eastAsia" w:ascii="宋体" w:hAnsi="宋体" w:eastAsia="宋体"/>
                <w:color w:val="000000"/>
                <w:szCs w:val="21"/>
                <w:lang w:eastAsia="zh-CN"/>
              </w:rPr>
              <w:t>5</w:t>
            </w:r>
          </w:p>
        </w:tc>
        <w:tc>
          <w:tcPr>
            <w:tcW w:w="6317" w:type="dxa"/>
            <w:noWrap w:val="0"/>
            <w:vAlign w:val="center"/>
          </w:tcPr>
          <w:p>
            <w:pPr>
              <w:spacing w:line="276" w:lineRule="auto"/>
              <w:rPr>
                <w:rFonts w:hint="eastAsia" w:ascii="宋体" w:hAnsi="宋体"/>
                <w:sz w:val="18"/>
                <w:szCs w:val="18"/>
              </w:rPr>
            </w:pPr>
            <w:r>
              <w:rPr>
                <w:rFonts w:hint="eastAsia" w:ascii="宋体" w:hAnsi="宋体"/>
                <w:sz w:val="18"/>
                <w:szCs w:val="18"/>
              </w:rPr>
              <w:t>优：安装、检测、验收、培训计划条理清晰，脉络分明，操作性强，人性化，能体现以人为本、服务至上的售后理念。</w:t>
            </w:r>
          </w:p>
          <w:p>
            <w:pPr>
              <w:spacing w:line="276" w:lineRule="auto"/>
              <w:rPr>
                <w:rFonts w:hint="eastAsia" w:ascii="宋体" w:hAnsi="宋体"/>
                <w:sz w:val="18"/>
                <w:szCs w:val="18"/>
              </w:rPr>
            </w:pPr>
            <w:r>
              <w:rPr>
                <w:rFonts w:hint="eastAsia" w:ascii="宋体" w:hAnsi="宋体"/>
                <w:sz w:val="18"/>
                <w:szCs w:val="18"/>
              </w:rPr>
              <w:t>良：安装、检测、验收、培训计划条理较清晰，脉络较分明，操作性较强，能体现以人为本、服务至上的售后理念。</w:t>
            </w:r>
          </w:p>
          <w:p>
            <w:pPr>
              <w:spacing w:line="276" w:lineRule="auto"/>
              <w:rPr>
                <w:rFonts w:hint="eastAsia" w:ascii="宋体" w:hAnsi="宋体"/>
                <w:sz w:val="18"/>
                <w:szCs w:val="18"/>
                <w:lang w:eastAsia="zh-CN"/>
              </w:rPr>
            </w:pPr>
            <w:r>
              <w:rPr>
                <w:rFonts w:hint="eastAsia" w:ascii="宋体" w:hAnsi="宋体"/>
                <w:sz w:val="18"/>
                <w:szCs w:val="18"/>
              </w:rPr>
              <w:t>中：安装、检测、验收、培训计划条理模糊，脉络较分明，操作性较强，不能能体现以人为本、服务至上的售后理念。</w:t>
            </w:r>
          </w:p>
        </w:tc>
        <w:tc>
          <w:tcPr>
            <w:tcW w:w="1556" w:type="dxa"/>
            <w:noWrap w:val="0"/>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5</w:t>
            </w:r>
          </w:p>
        </w:tc>
        <w:tc>
          <w:tcPr>
            <w:tcW w:w="1485" w:type="dxa"/>
            <w:noWrap w:val="0"/>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4</w:t>
            </w:r>
          </w:p>
        </w:tc>
        <w:tc>
          <w:tcPr>
            <w:tcW w:w="1396" w:type="dxa"/>
            <w:noWrap w:val="0"/>
            <w:vAlign w:val="center"/>
          </w:tcPr>
          <w:p>
            <w:pPr>
              <w:spacing w:line="276" w:lineRule="auto"/>
              <w:jc w:val="center"/>
              <w:rPr>
                <w:rFonts w:hint="default" w:ascii="宋体" w:hAnsi="宋体"/>
                <w:sz w:val="18"/>
                <w:szCs w:val="18"/>
                <w:lang w:val="en-US" w:eastAsia="zh-CN"/>
              </w:rPr>
            </w:pPr>
            <w:r>
              <w:rPr>
                <w:rFonts w:hint="eastAsia" w:ascii="宋体" w:hAnsi="宋体"/>
                <w:sz w:val="18"/>
                <w:szCs w:val="18"/>
                <w:lang w:val="en-US" w:eastAsia="zh-CN"/>
              </w:rPr>
              <w:t>3</w:t>
            </w:r>
          </w:p>
        </w:tc>
        <w:tc>
          <w:tcPr>
            <w:tcW w:w="848" w:type="dxa"/>
            <w:noWrap w:val="0"/>
            <w:vAlign w:val="center"/>
          </w:tcPr>
          <w:p>
            <w:pPr>
              <w:jc w:val="center"/>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95" w:hRule="atLeast"/>
          <w:jc w:val="center"/>
        </w:trPr>
        <w:tc>
          <w:tcPr>
            <w:tcW w:w="428" w:type="dxa"/>
            <w:noWrap w:val="0"/>
            <w:vAlign w:val="center"/>
          </w:tcPr>
          <w:p>
            <w:pPr>
              <w:jc w:val="center"/>
              <w:rPr>
                <w:rFonts w:hint="eastAsia" w:ascii="宋体" w:hAnsi="宋体"/>
                <w:color w:val="000000"/>
                <w:szCs w:val="21"/>
              </w:rPr>
            </w:pPr>
            <w:r>
              <w:rPr>
                <w:rFonts w:hint="eastAsia" w:ascii="宋体" w:hAnsi="宋体"/>
                <w:color w:val="000000"/>
                <w:szCs w:val="21"/>
              </w:rPr>
              <w:t>8</w:t>
            </w:r>
          </w:p>
        </w:tc>
        <w:tc>
          <w:tcPr>
            <w:tcW w:w="1673" w:type="dxa"/>
            <w:noWrap w:val="0"/>
            <w:vAlign w:val="center"/>
          </w:tcPr>
          <w:p>
            <w:pPr>
              <w:spacing w:line="360" w:lineRule="exact"/>
              <w:ind w:left="-78" w:leftChars="-37" w:right="-73" w:rightChars="-35"/>
              <w:jc w:val="center"/>
              <w:rPr>
                <w:rFonts w:hint="eastAsia" w:ascii="宋体" w:hAnsi="宋体"/>
                <w:color w:val="000000"/>
                <w:szCs w:val="21"/>
              </w:rPr>
            </w:pPr>
            <w:r>
              <w:rPr>
                <w:rFonts w:hint="eastAsia" w:ascii="宋体" w:hAnsi="宋体" w:cs="宋体"/>
                <w:sz w:val="18"/>
                <w:szCs w:val="18"/>
              </w:rPr>
              <w:t>施工组织方案及安全保障措施</w:t>
            </w:r>
          </w:p>
        </w:tc>
        <w:tc>
          <w:tcPr>
            <w:tcW w:w="762" w:type="dxa"/>
            <w:noWrap w:val="0"/>
            <w:vAlign w:val="center"/>
          </w:tcPr>
          <w:p>
            <w:pPr>
              <w:spacing w:line="360" w:lineRule="exact"/>
              <w:ind w:left="-63" w:leftChars="-30" w:right="-88" w:rightChars="-42"/>
              <w:jc w:val="center"/>
              <w:rPr>
                <w:rFonts w:hint="eastAsia" w:ascii="宋体" w:hAnsi="宋体" w:eastAsia="宋体"/>
                <w:color w:val="000000"/>
                <w:szCs w:val="21"/>
                <w:lang w:eastAsia="zh-CN"/>
              </w:rPr>
            </w:pPr>
            <w:r>
              <w:rPr>
                <w:rFonts w:hint="eastAsia" w:ascii="宋体" w:hAnsi="宋体" w:eastAsia="宋体"/>
                <w:color w:val="000000"/>
                <w:szCs w:val="21"/>
                <w:lang w:eastAsia="zh-CN"/>
              </w:rPr>
              <w:t>10</w:t>
            </w:r>
          </w:p>
        </w:tc>
        <w:tc>
          <w:tcPr>
            <w:tcW w:w="6317" w:type="dxa"/>
            <w:noWrap w:val="0"/>
            <w:vAlign w:val="center"/>
          </w:tcPr>
          <w:p>
            <w:pPr>
              <w:spacing w:line="276" w:lineRule="auto"/>
              <w:rPr>
                <w:rFonts w:hint="eastAsia" w:ascii="宋体" w:hAnsi="宋体"/>
                <w:sz w:val="18"/>
                <w:szCs w:val="18"/>
              </w:rPr>
            </w:pPr>
            <w:r>
              <w:rPr>
                <w:rFonts w:hint="eastAsia" w:ascii="宋体" w:hAnsi="宋体"/>
                <w:sz w:val="18"/>
                <w:szCs w:val="18"/>
              </w:rPr>
              <w:t>优：针对本项目的环保工程设计及发电机组安装，施工管理方案，提出合理、可行的特色服务方案及施工安全保障措施</w:t>
            </w:r>
          </w:p>
          <w:p>
            <w:pPr>
              <w:spacing w:line="276" w:lineRule="auto"/>
              <w:rPr>
                <w:rFonts w:hint="eastAsia" w:ascii="宋体" w:hAnsi="宋体"/>
                <w:sz w:val="18"/>
                <w:szCs w:val="18"/>
              </w:rPr>
            </w:pPr>
            <w:r>
              <w:rPr>
                <w:rFonts w:hint="eastAsia" w:ascii="宋体" w:hAnsi="宋体"/>
                <w:sz w:val="18"/>
                <w:szCs w:val="18"/>
              </w:rPr>
              <w:t>良：针对本项目的发电机组安装,提出管理方案、特色服务条款，施工安全保障措施。</w:t>
            </w:r>
          </w:p>
          <w:p>
            <w:pPr>
              <w:spacing w:line="276" w:lineRule="auto"/>
              <w:rPr>
                <w:rFonts w:hint="eastAsia" w:ascii="宋体" w:hAnsi="宋体" w:eastAsia="宋体"/>
                <w:sz w:val="18"/>
                <w:szCs w:val="18"/>
                <w:lang w:eastAsia="zh-CN"/>
              </w:rPr>
            </w:pPr>
            <w:r>
              <w:rPr>
                <w:rFonts w:hint="eastAsia" w:ascii="宋体" w:hAnsi="宋体"/>
                <w:sz w:val="18"/>
                <w:szCs w:val="18"/>
              </w:rPr>
              <w:t>中：针对本项目的管理方案、特色服务条款，施工安全保障措施</w:t>
            </w:r>
            <w:r>
              <w:rPr>
                <w:rFonts w:hint="eastAsia" w:ascii="宋体" w:hAnsi="宋体"/>
                <w:sz w:val="18"/>
                <w:szCs w:val="18"/>
                <w:lang w:eastAsia="zh-CN"/>
              </w:rPr>
              <w:t>。</w:t>
            </w:r>
          </w:p>
        </w:tc>
        <w:tc>
          <w:tcPr>
            <w:tcW w:w="1556" w:type="dxa"/>
            <w:noWrap w:val="0"/>
            <w:vAlign w:val="center"/>
          </w:tcPr>
          <w:p>
            <w:pPr>
              <w:spacing w:line="276" w:lineRule="auto"/>
              <w:jc w:val="center"/>
              <w:rPr>
                <w:rFonts w:hint="eastAsia" w:ascii="宋体" w:hAnsi="宋体"/>
                <w:sz w:val="18"/>
                <w:szCs w:val="18"/>
                <w:lang w:val="en-US" w:eastAsia="zh-CN"/>
              </w:rPr>
            </w:pPr>
            <w:r>
              <w:rPr>
                <w:rFonts w:hint="eastAsia" w:ascii="宋体" w:hAnsi="宋体"/>
                <w:sz w:val="18"/>
                <w:szCs w:val="18"/>
                <w:lang w:val="en-US" w:eastAsia="zh-CN"/>
              </w:rPr>
              <w:t>5</w:t>
            </w:r>
          </w:p>
        </w:tc>
        <w:tc>
          <w:tcPr>
            <w:tcW w:w="1485" w:type="dxa"/>
            <w:noWrap w:val="0"/>
            <w:vAlign w:val="center"/>
          </w:tcPr>
          <w:p>
            <w:pPr>
              <w:spacing w:line="276" w:lineRule="auto"/>
              <w:jc w:val="center"/>
              <w:rPr>
                <w:rFonts w:hint="eastAsia" w:ascii="宋体" w:hAnsi="宋体"/>
                <w:sz w:val="18"/>
                <w:szCs w:val="18"/>
                <w:lang w:val="en-US" w:eastAsia="zh-CN"/>
              </w:rPr>
            </w:pPr>
            <w:r>
              <w:rPr>
                <w:rFonts w:hint="eastAsia" w:ascii="宋体" w:hAnsi="宋体"/>
                <w:sz w:val="18"/>
                <w:szCs w:val="18"/>
                <w:lang w:val="en-US" w:eastAsia="zh-CN"/>
              </w:rPr>
              <w:t>4</w:t>
            </w:r>
          </w:p>
        </w:tc>
        <w:tc>
          <w:tcPr>
            <w:tcW w:w="1396" w:type="dxa"/>
            <w:noWrap w:val="0"/>
            <w:vAlign w:val="center"/>
          </w:tcPr>
          <w:p>
            <w:pPr>
              <w:spacing w:line="276" w:lineRule="auto"/>
              <w:jc w:val="center"/>
              <w:rPr>
                <w:rFonts w:hint="eastAsia" w:ascii="宋体" w:hAnsi="宋体"/>
                <w:sz w:val="18"/>
                <w:szCs w:val="18"/>
                <w:lang w:val="en-US" w:eastAsia="zh-CN"/>
              </w:rPr>
            </w:pPr>
            <w:r>
              <w:rPr>
                <w:rFonts w:hint="eastAsia" w:ascii="宋体" w:hAnsi="宋体"/>
                <w:sz w:val="18"/>
                <w:szCs w:val="18"/>
                <w:lang w:val="en-US" w:eastAsia="zh-CN"/>
              </w:rPr>
              <w:t>3</w:t>
            </w:r>
          </w:p>
        </w:tc>
        <w:tc>
          <w:tcPr>
            <w:tcW w:w="848" w:type="dxa"/>
            <w:noWrap w:val="0"/>
            <w:vAlign w:val="center"/>
          </w:tcPr>
          <w:p>
            <w:pPr>
              <w:jc w:val="center"/>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95" w:hRule="atLeast"/>
          <w:jc w:val="center"/>
        </w:trPr>
        <w:tc>
          <w:tcPr>
            <w:tcW w:w="428" w:type="dxa"/>
            <w:noWrap w:val="0"/>
            <w:vAlign w:val="center"/>
          </w:tcPr>
          <w:p>
            <w:pPr>
              <w:jc w:val="center"/>
              <w:rPr>
                <w:rFonts w:hint="eastAsia" w:ascii="宋体" w:hAnsi="宋体"/>
                <w:color w:val="000000"/>
                <w:szCs w:val="21"/>
              </w:rPr>
            </w:pPr>
          </w:p>
        </w:tc>
        <w:tc>
          <w:tcPr>
            <w:tcW w:w="1673" w:type="dxa"/>
            <w:noWrap w:val="0"/>
            <w:vAlign w:val="center"/>
          </w:tcPr>
          <w:p>
            <w:pPr>
              <w:spacing w:line="320" w:lineRule="exact"/>
              <w:jc w:val="center"/>
              <w:rPr>
                <w:rFonts w:ascii="宋体" w:hAnsi="宋体" w:cs="宋体"/>
                <w:sz w:val="18"/>
                <w:szCs w:val="18"/>
              </w:rPr>
            </w:pPr>
            <w:r>
              <w:rPr>
                <w:rFonts w:hint="eastAsia" w:ascii="宋体" w:hAnsi="宋体" w:cs="宋体"/>
                <w:sz w:val="18"/>
                <w:szCs w:val="18"/>
              </w:rPr>
              <w:t>售后服务方案</w:t>
            </w:r>
          </w:p>
          <w:p>
            <w:pPr>
              <w:spacing w:line="360" w:lineRule="exact"/>
              <w:ind w:left="-78" w:leftChars="-37" w:right="-73" w:rightChars="-35"/>
              <w:jc w:val="center"/>
              <w:rPr>
                <w:rFonts w:hint="eastAsia" w:ascii="宋体" w:hAnsi="宋体"/>
                <w:color w:val="000000"/>
                <w:szCs w:val="21"/>
              </w:rPr>
            </w:pPr>
            <w:r>
              <w:rPr>
                <w:rFonts w:hint="eastAsia" w:ascii="宋体" w:hAnsi="宋体" w:cs="宋体"/>
                <w:sz w:val="18"/>
                <w:szCs w:val="18"/>
              </w:rPr>
              <w:t>（质保期的维护保养、技术人员培训等）</w:t>
            </w:r>
          </w:p>
        </w:tc>
        <w:tc>
          <w:tcPr>
            <w:tcW w:w="762" w:type="dxa"/>
            <w:noWrap w:val="0"/>
            <w:vAlign w:val="center"/>
          </w:tcPr>
          <w:p>
            <w:pPr>
              <w:spacing w:line="360" w:lineRule="exact"/>
              <w:ind w:left="-63" w:leftChars="-30" w:right="-88" w:rightChars="-42"/>
              <w:jc w:val="center"/>
              <w:rPr>
                <w:rFonts w:hint="eastAsia" w:ascii="宋体" w:hAnsi="宋体" w:eastAsia="宋体"/>
                <w:color w:val="000000"/>
                <w:szCs w:val="21"/>
                <w:lang w:eastAsia="zh-CN"/>
              </w:rPr>
            </w:pPr>
            <w:r>
              <w:rPr>
                <w:rFonts w:hint="eastAsia" w:ascii="宋体" w:hAnsi="宋体" w:eastAsia="宋体"/>
                <w:color w:val="000000"/>
                <w:szCs w:val="21"/>
                <w:lang w:eastAsia="zh-CN"/>
              </w:rPr>
              <w:t>10</w:t>
            </w:r>
          </w:p>
        </w:tc>
        <w:tc>
          <w:tcPr>
            <w:tcW w:w="6317" w:type="dxa"/>
            <w:noWrap w:val="0"/>
            <w:vAlign w:val="center"/>
          </w:tcPr>
          <w:p>
            <w:pPr>
              <w:spacing w:line="276" w:lineRule="auto"/>
              <w:rPr>
                <w:rFonts w:hint="eastAsia" w:ascii="宋体" w:hAnsi="宋体"/>
                <w:sz w:val="18"/>
                <w:szCs w:val="18"/>
              </w:rPr>
            </w:pPr>
            <w:r>
              <w:rPr>
                <w:rFonts w:hint="eastAsia" w:ascii="宋体" w:hAnsi="宋体"/>
                <w:sz w:val="18"/>
                <w:szCs w:val="18"/>
              </w:rPr>
              <w:t>售后服务综合评分：</w:t>
            </w:r>
          </w:p>
          <w:p>
            <w:pPr>
              <w:spacing w:line="276" w:lineRule="auto"/>
              <w:rPr>
                <w:rFonts w:hint="eastAsia" w:ascii="宋体" w:hAnsi="宋体"/>
                <w:sz w:val="18"/>
                <w:szCs w:val="18"/>
              </w:rPr>
            </w:pPr>
            <w:r>
              <w:rPr>
                <w:rFonts w:hint="eastAsia" w:ascii="宋体" w:hAnsi="宋体"/>
                <w:sz w:val="18"/>
                <w:szCs w:val="18"/>
              </w:rPr>
              <w:t>优：供应商售后服务承诺优于招标文件要求、服务人性化、响应及时、检修人员熟练经验丰富；</w:t>
            </w:r>
          </w:p>
          <w:p>
            <w:pPr>
              <w:spacing w:line="276" w:lineRule="auto"/>
              <w:rPr>
                <w:rFonts w:hint="eastAsia" w:ascii="宋体" w:hAnsi="宋体"/>
                <w:sz w:val="18"/>
                <w:szCs w:val="18"/>
              </w:rPr>
            </w:pPr>
            <w:r>
              <w:rPr>
                <w:rFonts w:hint="eastAsia" w:ascii="宋体" w:hAnsi="宋体"/>
                <w:sz w:val="18"/>
                <w:szCs w:val="18"/>
              </w:rPr>
              <w:t>良：供应商售后服务承诺满足招标文件要求、服务人性化、响应较及时、检修人员熟练，分值；</w:t>
            </w:r>
          </w:p>
          <w:p>
            <w:pPr>
              <w:spacing w:line="276" w:lineRule="auto"/>
              <w:rPr>
                <w:rFonts w:hint="eastAsia" w:ascii="宋体" w:hAnsi="宋体"/>
                <w:sz w:val="18"/>
                <w:szCs w:val="18"/>
                <w:lang w:eastAsia="zh-CN"/>
              </w:rPr>
            </w:pPr>
            <w:r>
              <w:rPr>
                <w:rFonts w:hint="eastAsia" w:ascii="宋体" w:hAnsi="宋体"/>
                <w:sz w:val="18"/>
                <w:szCs w:val="18"/>
              </w:rPr>
              <w:t>中：供应商售后服务承诺基本满足招标文件要求、服务一般、响应有延迟、检修人员熟练程度一般</w:t>
            </w:r>
            <w:r>
              <w:rPr>
                <w:rFonts w:hint="eastAsia" w:ascii="宋体" w:hAnsi="宋体"/>
                <w:sz w:val="18"/>
                <w:szCs w:val="18"/>
                <w:lang w:eastAsia="zh-CN"/>
              </w:rPr>
              <w:t>。</w:t>
            </w:r>
          </w:p>
        </w:tc>
        <w:tc>
          <w:tcPr>
            <w:tcW w:w="1556" w:type="dxa"/>
            <w:noWrap w:val="0"/>
            <w:vAlign w:val="center"/>
          </w:tcPr>
          <w:p>
            <w:pPr>
              <w:spacing w:line="276" w:lineRule="auto"/>
              <w:jc w:val="center"/>
              <w:rPr>
                <w:rFonts w:hint="eastAsia" w:ascii="宋体" w:hAnsi="宋体"/>
                <w:sz w:val="18"/>
                <w:szCs w:val="18"/>
                <w:lang w:val="en-US" w:eastAsia="zh-CN"/>
              </w:rPr>
            </w:pPr>
            <w:r>
              <w:rPr>
                <w:rFonts w:hint="eastAsia" w:ascii="宋体" w:hAnsi="宋体"/>
                <w:sz w:val="18"/>
                <w:szCs w:val="18"/>
                <w:lang w:val="en-US" w:eastAsia="zh-CN"/>
              </w:rPr>
              <w:t>10</w:t>
            </w:r>
          </w:p>
        </w:tc>
        <w:tc>
          <w:tcPr>
            <w:tcW w:w="1485" w:type="dxa"/>
            <w:noWrap w:val="0"/>
            <w:vAlign w:val="center"/>
          </w:tcPr>
          <w:p>
            <w:pPr>
              <w:spacing w:line="276" w:lineRule="auto"/>
              <w:jc w:val="center"/>
              <w:rPr>
                <w:rFonts w:hint="eastAsia" w:ascii="宋体" w:hAnsi="宋体"/>
                <w:sz w:val="18"/>
                <w:szCs w:val="18"/>
                <w:lang w:val="en-US" w:eastAsia="zh-CN"/>
              </w:rPr>
            </w:pPr>
            <w:r>
              <w:rPr>
                <w:rFonts w:hint="eastAsia" w:ascii="宋体" w:hAnsi="宋体"/>
                <w:sz w:val="18"/>
                <w:szCs w:val="18"/>
                <w:lang w:val="en-US" w:eastAsia="zh-CN"/>
              </w:rPr>
              <w:t>8</w:t>
            </w:r>
          </w:p>
        </w:tc>
        <w:tc>
          <w:tcPr>
            <w:tcW w:w="1396" w:type="dxa"/>
            <w:noWrap w:val="0"/>
            <w:vAlign w:val="center"/>
          </w:tcPr>
          <w:p>
            <w:pPr>
              <w:spacing w:line="276" w:lineRule="auto"/>
              <w:jc w:val="center"/>
              <w:rPr>
                <w:rFonts w:hint="eastAsia" w:ascii="宋体" w:hAnsi="宋体"/>
                <w:sz w:val="18"/>
                <w:szCs w:val="18"/>
                <w:lang w:val="en-US" w:eastAsia="zh-CN"/>
              </w:rPr>
            </w:pPr>
            <w:r>
              <w:rPr>
                <w:rFonts w:hint="eastAsia" w:ascii="宋体" w:hAnsi="宋体"/>
                <w:sz w:val="18"/>
                <w:szCs w:val="18"/>
                <w:lang w:val="en-US" w:eastAsia="zh-CN"/>
              </w:rPr>
              <w:t>6</w:t>
            </w:r>
          </w:p>
        </w:tc>
        <w:tc>
          <w:tcPr>
            <w:tcW w:w="848" w:type="dxa"/>
            <w:noWrap w:val="0"/>
            <w:vAlign w:val="center"/>
          </w:tcPr>
          <w:p>
            <w:pPr>
              <w:jc w:val="center"/>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101" w:type="dxa"/>
            <w:gridSpan w:val="2"/>
            <w:noWrap w:val="0"/>
            <w:vAlign w:val="center"/>
          </w:tcPr>
          <w:p>
            <w:pPr>
              <w:jc w:val="center"/>
              <w:rPr>
                <w:rFonts w:hint="eastAsia" w:ascii="宋体" w:hAnsi="宋体"/>
                <w:color w:val="000000"/>
                <w:szCs w:val="21"/>
              </w:rPr>
            </w:pPr>
            <w:r>
              <w:rPr>
                <w:rFonts w:hint="eastAsia" w:ascii="宋体" w:hAnsi="宋体" w:cs="宋体"/>
                <w:color w:val="000000"/>
                <w:szCs w:val="21"/>
              </w:rPr>
              <w:t>合计</w:t>
            </w:r>
          </w:p>
        </w:tc>
        <w:tc>
          <w:tcPr>
            <w:tcW w:w="762" w:type="dxa"/>
            <w:noWrap w:val="0"/>
            <w:vAlign w:val="center"/>
          </w:tcPr>
          <w:p>
            <w:pPr>
              <w:jc w:val="center"/>
              <w:rPr>
                <w:rFonts w:hint="eastAsia" w:ascii="宋体" w:hAnsi="宋体"/>
                <w:color w:val="000000"/>
                <w:szCs w:val="21"/>
              </w:rPr>
            </w:pPr>
            <w:r>
              <w:rPr>
                <w:rFonts w:hint="eastAsia" w:ascii="宋体" w:hAnsi="宋体"/>
                <w:color w:val="000000"/>
                <w:szCs w:val="21"/>
              </w:rPr>
              <w:t>100</w:t>
            </w:r>
          </w:p>
        </w:tc>
        <w:tc>
          <w:tcPr>
            <w:tcW w:w="10754" w:type="dxa"/>
            <w:gridSpan w:val="4"/>
            <w:noWrap w:val="0"/>
            <w:vAlign w:val="center"/>
          </w:tcPr>
          <w:p>
            <w:pPr>
              <w:jc w:val="center"/>
              <w:rPr>
                <w:rFonts w:hint="eastAsia" w:ascii="宋体" w:hAnsi="宋体"/>
                <w:color w:val="000000"/>
                <w:szCs w:val="21"/>
              </w:rPr>
            </w:pPr>
            <w:r>
              <w:rPr>
                <w:rFonts w:hint="eastAsia" w:ascii="宋体" w:hAnsi="宋体" w:cs="宋体"/>
                <w:color w:val="000000"/>
                <w:szCs w:val="21"/>
              </w:rPr>
              <w:t>得分总计</w:t>
            </w:r>
          </w:p>
        </w:tc>
        <w:tc>
          <w:tcPr>
            <w:tcW w:w="848" w:type="dxa"/>
            <w:noWrap w:val="0"/>
            <w:vAlign w:val="center"/>
          </w:tcPr>
          <w:p>
            <w:pPr>
              <w:jc w:val="center"/>
              <w:rPr>
                <w:rFonts w:hint="eastAsia" w:ascii="宋体" w:hAnsi="宋体"/>
                <w:color w:val="000000"/>
                <w:szCs w:val="21"/>
              </w:rPr>
            </w:pPr>
          </w:p>
        </w:tc>
      </w:tr>
    </w:tbl>
    <w:p>
      <w:pPr>
        <w:pStyle w:val="53"/>
        <w:ind w:left="0" w:leftChars="0" w:firstLine="0" w:firstLineChars="0"/>
      </w:pPr>
    </w:p>
    <w:p/>
    <w:p>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注：</w:t>
      </w:r>
      <w:r>
        <w:rPr>
          <w:rFonts w:hint="eastAsia" w:ascii="宋体" w:hAnsi="宋体" w:cs="Arial"/>
          <w:color w:val="000000"/>
          <w:szCs w:val="21"/>
          <w:highlight w:val="none"/>
        </w:rPr>
        <w:t>评委对各投标文件进行比较后打分，最好的为优，其余的根据优劣相应的打分。</w:t>
      </w:r>
    </w:p>
    <w:p>
      <w:pPr>
        <w:pStyle w:val="2"/>
        <w:ind w:firstLine="420" w:firstLineChars="200"/>
        <w:rPr>
          <w:rFonts w:hint="eastAsia"/>
          <w:color w:val="auto"/>
          <w:sz w:val="21"/>
          <w:szCs w:val="21"/>
          <w:highlight w:val="none"/>
        </w:rPr>
      </w:pPr>
    </w:p>
    <w:p>
      <w:pPr>
        <w:pStyle w:val="2"/>
        <w:ind w:firstLine="420" w:firstLineChars="200"/>
        <w:sectPr>
          <w:pgSz w:w="16838" w:h="11905" w:orient="landscape"/>
          <w:pgMar w:top="1134" w:right="1134" w:bottom="1134" w:left="1134" w:header="794" w:footer="794" w:gutter="0"/>
          <w:cols w:space="0" w:num="1"/>
          <w:rtlGutter w:val="0"/>
          <w:docGrid w:linePitch="0" w:charSpace="0"/>
        </w:sectPr>
      </w:pPr>
      <w:r>
        <w:rPr>
          <w:rFonts w:hint="eastAsia"/>
          <w:color w:val="auto"/>
          <w:sz w:val="21"/>
          <w:szCs w:val="21"/>
          <w:highlight w:val="none"/>
        </w:rPr>
        <w:t>评委签名：                                                             日    期：</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3"/>
        <w:ind w:firstLine="240"/>
        <w:rPr>
          <w:color w:val="auto"/>
          <w:highlight w:val="none"/>
        </w:rPr>
      </w:pPr>
    </w:p>
    <w:p>
      <w:pPr>
        <w:pStyle w:val="3"/>
        <w:jc w:val="center"/>
        <w:rPr>
          <w:rFonts w:ascii="黑体" w:hAnsi="黑体" w:eastAsia="黑体" w:cs="宋体"/>
          <w:bCs/>
          <w:color w:val="auto"/>
          <w:kern w:val="2"/>
          <w:sz w:val="44"/>
          <w:szCs w:val="44"/>
          <w:highlight w:val="none"/>
          <w:lang w:val="zh-CN"/>
        </w:rPr>
      </w:pPr>
      <w:bookmarkStart w:id="40" w:name="_Toc489282799"/>
      <w:r>
        <w:rPr>
          <w:rFonts w:hint="eastAsia" w:ascii="黑体" w:hAnsi="黑体" w:eastAsia="黑体" w:cs="宋体"/>
          <w:bCs/>
          <w:color w:val="auto"/>
          <w:kern w:val="2"/>
          <w:sz w:val="44"/>
          <w:szCs w:val="44"/>
          <w:highlight w:val="none"/>
          <w:lang w:val="zh-CN"/>
        </w:rPr>
        <w:t>第五部分合同书格式</w:t>
      </w:r>
      <w:bookmarkEnd w:id="40"/>
    </w:p>
    <w:p>
      <w:pPr>
        <w:adjustRightInd w:val="0"/>
        <w:snapToGrid w:val="0"/>
        <w:spacing w:line="360" w:lineRule="auto"/>
        <w:jc w:val="center"/>
        <w:rPr>
          <w:rFonts w:ascii="宋体" w:cs="宋体"/>
          <w:color w:val="auto"/>
          <w:szCs w:val="21"/>
          <w:highlight w:val="none"/>
        </w:rPr>
      </w:pPr>
    </w:p>
    <w:p>
      <w:pPr>
        <w:pStyle w:val="460"/>
        <w:rPr>
          <w:rFonts w:ascii="宋体" w:hAnsi="宋体" w:eastAsia="宋体" w:cs="宋体"/>
          <w:color w:val="auto"/>
          <w:sz w:val="21"/>
          <w:szCs w:val="21"/>
          <w:highlight w:val="none"/>
        </w:rPr>
      </w:pPr>
    </w:p>
    <w:p>
      <w:pPr>
        <w:spacing w:line="360" w:lineRule="auto"/>
        <w:jc w:val="center"/>
        <w:rPr>
          <w:rFonts w:ascii="宋体" w:cs="宋体"/>
          <w:color w:val="auto"/>
          <w:sz w:val="22"/>
          <w:szCs w:val="21"/>
          <w:highlight w:val="none"/>
        </w:rPr>
      </w:pPr>
      <w:r>
        <w:rPr>
          <w:rFonts w:hint="eastAsia" w:ascii="宋体" w:hAnsi="宋体" w:cs="宋体"/>
          <w:b/>
          <w:color w:val="auto"/>
          <w:spacing w:val="20"/>
          <w:sz w:val="22"/>
          <w:szCs w:val="21"/>
          <w:highlight w:val="none"/>
        </w:rPr>
        <w:t>注：此合同为参考合同，以本招标文件的《用户需求书》的要求为基础，以采购人与中标人签订中标合同为准。</w:t>
      </w:r>
    </w:p>
    <w:p>
      <w:pPr>
        <w:pStyle w:val="460"/>
        <w:rPr>
          <w:rFonts w:ascii="宋体" w:hAnsi="宋体" w:eastAsia="宋体" w:cs="宋体"/>
          <w:color w:val="auto"/>
          <w:sz w:val="21"/>
          <w:szCs w:val="21"/>
          <w:highlight w:val="none"/>
        </w:rPr>
      </w:pPr>
    </w:p>
    <w:p>
      <w:pPr>
        <w:spacing w:line="360" w:lineRule="auto"/>
        <w:jc w:val="center"/>
        <w:rPr>
          <w:rFonts w:ascii="宋体" w:cs="宋体"/>
          <w:b/>
          <w:color w:val="auto"/>
          <w:szCs w:val="21"/>
          <w:highlight w:val="none"/>
        </w:rPr>
      </w:pPr>
      <w:r>
        <w:rPr>
          <w:rFonts w:ascii="宋体" w:cs="宋体"/>
          <w:b/>
          <w:color w:val="auto"/>
          <w:szCs w:val="21"/>
          <w:highlight w:val="none"/>
        </w:rPr>
        <w:br w:type="page"/>
      </w:r>
    </w:p>
    <w:p>
      <w:pPr>
        <w:spacing w:line="360" w:lineRule="auto"/>
        <w:jc w:val="center"/>
        <w:rPr>
          <w:rFonts w:ascii="宋体" w:hAnsi="宋体" w:cs="宋体"/>
          <w:b/>
          <w:color w:val="auto"/>
          <w:sz w:val="40"/>
          <w:szCs w:val="36"/>
          <w:highlight w:val="none"/>
        </w:rPr>
      </w:pPr>
    </w:p>
    <w:p>
      <w:pPr>
        <w:spacing w:line="360" w:lineRule="auto"/>
        <w:jc w:val="center"/>
        <w:rPr>
          <w:rFonts w:hint="eastAsia" w:ascii="宋体" w:hAnsi="宋体" w:cs="宋体"/>
          <w:b/>
          <w:color w:val="auto"/>
          <w:sz w:val="40"/>
          <w:szCs w:val="36"/>
          <w:highlight w:val="none"/>
          <w:lang w:eastAsia="zh-CN"/>
        </w:rPr>
      </w:pPr>
      <w:r>
        <w:rPr>
          <w:rFonts w:hint="eastAsia" w:ascii="宋体" w:hAnsi="宋体" w:cs="宋体"/>
          <w:b/>
          <w:color w:val="auto"/>
          <w:sz w:val="40"/>
          <w:szCs w:val="36"/>
          <w:highlight w:val="none"/>
          <w:lang w:eastAsia="zh-CN"/>
        </w:rPr>
        <w:t>中山市坦洲镇政府大院发电机购置安装项目</w:t>
      </w:r>
    </w:p>
    <w:p>
      <w:pPr>
        <w:spacing w:line="360" w:lineRule="auto"/>
        <w:jc w:val="center"/>
        <w:rPr>
          <w:rFonts w:hint="eastAsia" w:ascii="宋体" w:eastAsia="宋体" w:cs="宋体"/>
          <w:b/>
          <w:color w:val="auto"/>
          <w:sz w:val="40"/>
          <w:szCs w:val="36"/>
          <w:highlight w:val="none"/>
          <w:lang w:eastAsia="zh-CN"/>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 w:val="48"/>
          <w:szCs w:val="48"/>
          <w:highlight w:val="none"/>
        </w:rPr>
      </w:pPr>
      <w:r>
        <w:rPr>
          <w:rFonts w:hint="eastAsia" w:ascii="宋体" w:hAnsi="宋体" w:cs="宋体"/>
          <w:b/>
          <w:color w:val="auto"/>
          <w:sz w:val="48"/>
          <w:szCs w:val="48"/>
          <w:highlight w:val="none"/>
        </w:rPr>
        <w:t>合同书</w:t>
      </w: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ind w:firstLine="1285" w:firstLineChars="400"/>
        <w:rPr>
          <w:rFonts w:ascii="宋体" w:cs="宋体"/>
          <w:b/>
          <w:color w:val="auto"/>
          <w:sz w:val="32"/>
          <w:szCs w:val="32"/>
          <w:highlight w:val="none"/>
          <w:u w:val="single"/>
        </w:rPr>
      </w:pPr>
      <w:r>
        <w:rPr>
          <w:rFonts w:hint="eastAsia" w:ascii="宋体" w:hAnsi="宋体" w:cs="宋体"/>
          <w:b/>
          <w:color w:val="auto"/>
          <w:sz w:val="32"/>
          <w:szCs w:val="32"/>
          <w:highlight w:val="none"/>
        </w:rPr>
        <w:t>项目名称：</w:t>
      </w:r>
      <w:r>
        <w:rPr>
          <w:rFonts w:ascii="宋体" w:hAnsi="宋体" w:cs="宋体"/>
          <w:b/>
          <w:color w:val="auto"/>
          <w:sz w:val="32"/>
          <w:szCs w:val="32"/>
          <w:highlight w:val="none"/>
          <w:u w:val="single"/>
        </w:rPr>
        <w:t>_________________________________</w:t>
      </w:r>
    </w:p>
    <w:p>
      <w:pPr>
        <w:spacing w:line="360" w:lineRule="auto"/>
        <w:jc w:val="center"/>
        <w:rPr>
          <w:rFonts w:ascii="宋体" w:cs="宋体"/>
          <w:b/>
          <w:color w:val="auto"/>
          <w:sz w:val="32"/>
          <w:szCs w:val="32"/>
          <w:highlight w:val="none"/>
          <w:u w:val="single"/>
        </w:rPr>
      </w:pPr>
      <w:r>
        <w:rPr>
          <w:rFonts w:hint="eastAsia" w:ascii="宋体" w:hAnsi="宋体" w:cs="宋体"/>
          <w:b/>
          <w:color w:val="auto"/>
          <w:sz w:val="32"/>
          <w:szCs w:val="32"/>
          <w:highlight w:val="none"/>
        </w:rPr>
        <w:t>合同编号：</w:t>
      </w:r>
      <w:r>
        <w:rPr>
          <w:rFonts w:ascii="宋体" w:hAnsi="宋体" w:cs="宋体"/>
          <w:b/>
          <w:color w:val="auto"/>
          <w:sz w:val="32"/>
          <w:szCs w:val="32"/>
          <w:highlight w:val="none"/>
          <w:u w:val="single"/>
        </w:rPr>
        <w:t>_________________________________</w:t>
      </w:r>
    </w:p>
    <w:p>
      <w:pPr>
        <w:spacing w:line="360" w:lineRule="auto"/>
        <w:jc w:val="center"/>
        <w:rPr>
          <w:rFonts w:ascii="宋体" w:cs="宋体"/>
          <w:b/>
          <w:color w:val="auto"/>
          <w:sz w:val="32"/>
          <w:szCs w:val="32"/>
          <w:highlight w:val="none"/>
          <w:u w:val="single"/>
        </w:rPr>
      </w:pPr>
      <w:r>
        <w:rPr>
          <w:rFonts w:hint="eastAsia" w:ascii="宋体" w:hAnsi="宋体" w:cs="宋体"/>
          <w:b/>
          <w:color w:val="auto"/>
          <w:sz w:val="32"/>
          <w:szCs w:val="32"/>
          <w:highlight w:val="none"/>
        </w:rPr>
        <w:t>签订地点：</w:t>
      </w:r>
      <w:r>
        <w:rPr>
          <w:rFonts w:ascii="宋体" w:hAnsi="宋体" w:cs="宋体"/>
          <w:b/>
          <w:color w:val="auto"/>
          <w:sz w:val="32"/>
          <w:szCs w:val="32"/>
          <w:highlight w:val="none"/>
          <w:u w:val="single"/>
        </w:rPr>
        <w:t>_________________________________</w:t>
      </w: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b/>
          <w:color w:val="auto"/>
          <w:sz w:val="30"/>
          <w:szCs w:val="30"/>
          <w:highlight w:val="none"/>
        </w:rPr>
      </w:pPr>
      <w:r>
        <w:rPr>
          <w:rFonts w:ascii="宋体" w:hAnsi="宋体" w:cs="宋体"/>
          <w:b/>
          <w:color w:val="auto"/>
          <w:sz w:val="30"/>
          <w:szCs w:val="30"/>
          <w:highlight w:val="none"/>
        </w:rPr>
        <w:t>201</w:t>
      </w:r>
      <w:r>
        <w:rPr>
          <w:rFonts w:hint="eastAsia" w:ascii="宋体" w:hAnsi="宋体" w:cs="宋体"/>
          <w:b/>
          <w:color w:val="auto"/>
          <w:sz w:val="30"/>
          <w:szCs w:val="30"/>
          <w:highlight w:val="none"/>
        </w:rPr>
        <w:t>9年</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月</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日</w:t>
      </w: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tabs>
          <w:tab w:val="left" w:pos="840"/>
        </w:tabs>
        <w:spacing w:line="360" w:lineRule="auto"/>
        <w:ind w:firstLine="318" w:firstLineChars="151"/>
        <w:rPr>
          <w:rFonts w:ascii="宋体" w:cs="宋体"/>
          <w:b/>
          <w:color w:val="auto"/>
          <w:szCs w:val="21"/>
          <w:highlight w:val="none"/>
        </w:rPr>
      </w:pPr>
    </w:p>
    <w:p>
      <w:pPr>
        <w:pStyle w:val="53"/>
        <w:ind w:firstLine="240"/>
        <w:rPr>
          <w:color w:val="auto"/>
          <w:highlight w:val="none"/>
        </w:rPr>
      </w:pPr>
    </w:p>
    <w:p>
      <w:pPr>
        <w:spacing w:line="360" w:lineRule="auto"/>
        <w:rPr>
          <w:rFonts w:ascii="宋体" w:cs="宋体"/>
          <w:bCs/>
          <w:color w:val="auto"/>
          <w:szCs w:val="21"/>
          <w:highlight w:val="none"/>
        </w:rPr>
      </w:pPr>
    </w:p>
    <w:p>
      <w:pPr>
        <w:pStyle w:val="53"/>
        <w:ind w:firstLine="240"/>
        <w:rPr>
          <w:color w:val="auto"/>
          <w:highlight w:val="none"/>
        </w:rPr>
      </w:pP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auto"/>
          <w:szCs w:val="21"/>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auto"/>
          <w:szCs w:val="21"/>
          <w:highlight w:val="none"/>
        </w:rPr>
      </w:pPr>
      <w:r>
        <w:rPr>
          <w:rFonts w:ascii="宋体" w:hAnsi="宋体"/>
          <w:color w:val="auto"/>
          <w:szCs w:val="21"/>
          <w:highlight w:val="none"/>
        </w:rPr>
        <w:t>甲方</w:t>
      </w:r>
      <w:r>
        <w:rPr>
          <w:rFonts w:hint="eastAsia" w:ascii="宋体" w:hAnsi="宋体"/>
          <w:color w:val="auto"/>
          <w:szCs w:val="21"/>
          <w:highlight w:val="none"/>
        </w:rPr>
        <w:t>：</w:t>
      </w:r>
      <w:r>
        <w:rPr>
          <w:rFonts w:ascii="宋体" w:hAnsi="宋体"/>
          <w:color w:val="auto"/>
          <w:szCs w:val="21"/>
          <w:highlight w:val="none"/>
        </w:rPr>
        <w:t xml:space="preserve"> </w:t>
      </w:r>
    </w:p>
    <w:p>
      <w:pPr>
        <w:spacing w:line="360" w:lineRule="auto"/>
        <w:rPr>
          <w:rFonts w:ascii="宋体" w:hAnsi="宋体"/>
          <w:color w:val="auto"/>
          <w:szCs w:val="21"/>
          <w:highlight w:val="none"/>
        </w:rPr>
      </w:pPr>
      <w:r>
        <w:rPr>
          <w:rFonts w:ascii="宋体" w:hAnsi="宋体"/>
          <w:color w:val="auto"/>
          <w:szCs w:val="21"/>
          <w:highlight w:val="none"/>
        </w:rPr>
        <w:t>乙方</w:t>
      </w:r>
      <w:r>
        <w:rPr>
          <w:rFonts w:hint="eastAsia" w:ascii="宋体" w:hAnsi="宋体"/>
          <w:color w:val="auto"/>
          <w:szCs w:val="21"/>
          <w:highlight w:val="none"/>
        </w:rPr>
        <w:t>：</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为了保护供需双方合法权益，根据《中华人民共和国政府采购法》的规定，甲乙双方本着平等互利、互相合作的原则，经友好协商， 签订本合同，并共同遵守。</w:t>
      </w:r>
    </w:p>
    <w:p>
      <w:pPr>
        <w:spacing w:line="360" w:lineRule="auto"/>
        <w:rPr>
          <w:rFonts w:ascii="宋体" w:hAnsi="宋体"/>
          <w:b/>
          <w:color w:val="auto"/>
          <w:szCs w:val="21"/>
          <w:highlight w:val="none"/>
        </w:rPr>
      </w:pP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合同标的</w:t>
      </w:r>
    </w:p>
    <w:p>
      <w:pPr>
        <w:widowControl w:val="0"/>
        <w:numPr>
          <w:ilvl w:val="0"/>
          <w:numId w:val="22"/>
        </w:numPr>
        <w:tabs>
          <w:tab w:val="left" w:pos="840"/>
        </w:tabs>
        <w:spacing w:line="360" w:lineRule="auto"/>
        <w:jc w:val="both"/>
        <w:rPr>
          <w:rFonts w:ascii="宋体" w:hAnsi="宋体"/>
          <w:color w:val="auto"/>
          <w:kern w:val="28"/>
          <w:szCs w:val="21"/>
          <w:highlight w:val="none"/>
        </w:rPr>
      </w:pPr>
      <w:r>
        <w:rPr>
          <w:rFonts w:hint="eastAsia" w:ascii="宋体" w:hAnsi="宋体"/>
          <w:color w:val="auto"/>
          <w:kern w:val="28"/>
          <w:szCs w:val="21"/>
          <w:highlight w:val="none"/>
        </w:rPr>
        <w:t>合同内容：包括货物供货、运输、仓储、保险、调试、培训、验收、技术服务（包括技术资料、图纸的提供）、质保期保障等全部相关服务。</w:t>
      </w:r>
    </w:p>
    <w:p>
      <w:pPr>
        <w:widowControl w:val="0"/>
        <w:numPr>
          <w:ilvl w:val="0"/>
          <w:numId w:val="22"/>
        </w:numPr>
        <w:tabs>
          <w:tab w:val="left" w:pos="840"/>
        </w:tabs>
        <w:spacing w:line="360" w:lineRule="auto"/>
        <w:jc w:val="both"/>
        <w:rPr>
          <w:rFonts w:ascii="宋体" w:hAnsi="宋体"/>
          <w:color w:val="auto"/>
          <w:szCs w:val="21"/>
          <w:highlight w:val="none"/>
        </w:rPr>
      </w:pPr>
      <w:r>
        <w:rPr>
          <w:rFonts w:hint="eastAsia" w:ascii="宋体" w:hAnsi="宋体"/>
          <w:color w:val="auto"/>
          <w:szCs w:val="21"/>
          <w:highlight w:val="none"/>
        </w:rPr>
        <w:t>货物名称、型号、规格、制造商、数量</w:t>
      </w:r>
    </w:p>
    <w:tbl>
      <w:tblPr>
        <w:tblStyle w:val="55"/>
        <w:tblW w:w="9240" w:type="dxa"/>
        <w:tblInd w:w="34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630"/>
        <w:gridCol w:w="2100"/>
        <w:gridCol w:w="1260"/>
        <w:gridCol w:w="1050"/>
        <w:gridCol w:w="1050"/>
        <w:gridCol w:w="1155"/>
        <w:gridCol w:w="19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cantSplit/>
          <w:trHeight w:val="438" w:hRule="atLeast"/>
        </w:trPr>
        <w:tc>
          <w:tcPr>
            <w:tcW w:w="630" w:type="dxa"/>
            <w:tcBorders>
              <w:top w:val="double" w:color="auto" w:sz="4" w:space="0"/>
              <w:bottom w:val="single" w:color="auto" w:sz="6" w:space="0"/>
            </w:tcBorders>
            <w:shd w:val="clear" w:color="auto" w:fill="D9D9D9"/>
            <w:vAlign w:val="center"/>
          </w:tcPr>
          <w:p>
            <w:pPr>
              <w:autoSpaceDE w:val="0"/>
              <w:autoSpaceDN w:val="0"/>
              <w:adjustRightInd w:val="0"/>
              <w:jc w:val="center"/>
              <w:rPr>
                <w:rFonts w:ascii="宋体" w:hAnsi="宋体"/>
                <w:b/>
                <w:color w:val="auto"/>
                <w:highlight w:val="none"/>
              </w:rPr>
            </w:pPr>
            <w:r>
              <w:rPr>
                <w:rFonts w:hint="eastAsia" w:ascii="宋体" w:hAnsi="宋体"/>
                <w:b/>
                <w:color w:val="auto"/>
                <w:highlight w:val="none"/>
              </w:rPr>
              <w:t>序号</w:t>
            </w:r>
          </w:p>
        </w:tc>
        <w:tc>
          <w:tcPr>
            <w:tcW w:w="2100" w:type="dxa"/>
            <w:tcBorders>
              <w:top w:val="double" w:color="auto" w:sz="4" w:space="0"/>
              <w:bottom w:val="single" w:color="auto" w:sz="6" w:space="0"/>
            </w:tcBorders>
            <w:shd w:val="clear" w:color="auto" w:fill="D9D9D9"/>
            <w:vAlign w:val="center"/>
          </w:tcPr>
          <w:p>
            <w:pPr>
              <w:autoSpaceDE w:val="0"/>
              <w:autoSpaceDN w:val="0"/>
              <w:adjustRightInd w:val="0"/>
              <w:jc w:val="center"/>
              <w:rPr>
                <w:rFonts w:ascii="宋体" w:hAnsi="宋体"/>
                <w:b/>
                <w:color w:val="auto"/>
                <w:highlight w:val="none"/>
              </w:rPr>
            </w:pPr>
            <w:r>
              <w:rPr>
                <w:rFonts w:hint="eastAsia" w:ascii="宋体" w:hAnsi="宋体"/>
                <w:b/>
                <w:color w:val="auto"/>
                <w:highlight w:val="none"/>
              </w:rPr>
              <w:t>名称</w:t>
            </w:r>
          </w:p>
        </w:tc>
        <w:tc>
          <w:tcPr>
            <w:tcW w:w="1260" w:type="dxa"/>
            <w:tcBorders>
              <w:top w:val="double" w:color="auto" w:sz="4" w:space="0"/>
              <w:bottom w:val="single" w:color="auto" w:sz="6" w:space="0"/>
            </w:tcBorders>
            <w:shd w:val="clear" w:color="auto" w:fill="D9D9D9"/>
            <w:vAlign w:val="center"/>
          </w:tcPr>
          <w:p>
            <w:pPr>
              <w:autoSpaceDE w:val="0"/>
              <w:autoSpaceDN w:val="0"/>
              <w:adjustRightInd w:val="0"/>
              <w:jc w:val="center"/>
              <w:rPr>
                <w:rFonts w:ascii="宋体" w:hAnsi="宋体"/>
                <w:b/>
                <w:color w:val="auto"/>
                <w:highlight w:val="none"/>
              </w:rPr>
            </w:pPr>
            <w:r>
              <w:rPr>
                <w:rFonts w:hint="eastAsia" w:ascii="宋体" w:hAnsi="宋体"/>
                <w:b/>
                <w:color w:val="auto"/>
                <w:highlight w:val="none"/>
              </w:rPr>
              <w:t>型号规格</w:t>
            </w:r>
          </w:p>
        </w:tc>
        <w:tc>
          <w:tcPr>
            <w:tcW w:w="1050" w:type="dxa"/>
            <w:tcBorders>
              <w:top w:val="double" w:color="auto" w:sz="4" w:space="0"/>
              <w:bottom w:val="single" w:color="auto" w:sz="6" w:space="0"/>
            </w:tcBorders>
            <w:shd w:val="clear" w:color="auto" w:fill="D9D9D9"/>
            <w:vAlign w:val="center"/>
          </w:tcPr>
          <w:p>
            <w:pPr>
              <w:autoSpaceDE w:val="0"/>
              <w:autoSpaceDN w:val="0"/>
              <w:adjustRightInd w:val="0"/>
              <w:jc w:val="center"/>
              <w:rPr>
                <w:rFonts w:ascii="宋体" w:hAnsi="宋体"/>
                <w:b/>
                <w:color w:val="auto"/>
                <w:highlight w:val="none"/>
              </w:rPr>
            </w:pPr>
            <w:r>
              <w:rPr>
                <w:rFonts w:hint="eastAsia" w:ascii="宋体" w:hAnsi="宋体"/>
                <w:b/>
                <w:color w:val="auto"/>
                <w:highlight w:val="none"/>
              </w:rPr>
              <w:t>制造商</w:t>
            </w:r>
          </w:p>
        </w:tc>
        <w:tc>
          <w:tcPr>
            <w:tcW w:w="1050" w:type="dxa"/>
            <w:tcBorders>
              <w:top w:val="double" w:color="auto" w:sz="4" w:space="0"/>
              <w:bottom w:val="single" w:color="auto" w:sz="6" w:space="0"/>
            </w:tcBorders>
            <w:shd w:val="clear" w:color="auto" w:fill="D9D9D9"/>
            <w:vAlign w:val="center"/>
          </w:tcPr>
          <w:p>
            <w:pPr>
              <w:autoSpaceDE w:val="0"/>
              <w:autoSpaceDN w:val="0"/>
              <w:adjustRightInd w:val="0"/>
              <w:jc w:val="center"/>
              <w:rPr>
                <w:rFonts w:ascii="宋体" w:hAnsi="宋体"/>
                <w:b/>
                <w:color w:val="auto"/>
                <w:highlight w:val="none"/>
              </w:rPr>
            </w:pPr>
            <w:r>
              <w:rPr>
                <w:rFonts w:hint="eastAsia" w:ascii="宋体" w:hAnsi="宋体"/>
                <w:b/>
                <w:color w:val="auto"/>
                <w:highlight w:val="none"/>
              </w:rPr>
              <w:t>单位</w:t>
            </w:r>
          </w:p>
        </w:tc>
        <w:tc>
          <w:tcPr>
            <w:tcW w:w="1155" w:type="dxa"/>
            <w:tcBorders>
              <w:top w:val="double" w:color="auto" w:sz="4" w:space="0"/>
              <w:bottom w:val="single" w:color="auto" w:sz="6" w:space="0"/>
            </w:tcBorders>
            <w:shd w:val="clear" w:color="auto" w:fill="D9D9D9"/>
            <w:vAlign w:val="center"/>
          </w:tcPr>
          <w:p>
            <w:pPr>
              <w:autoSpaceDE w:val="0"/>
              <w:autoSpaceDN w:val="0"/>
              <w:adjustRightInd w:val="0"/>
              <w:jc w:val="center"/>
              <w:rPr>
                <w:rFonts w:ascii="宋体" w:hAnsi="宋体"/>
                <w:b/>
                <w:color w:val="auto"/>
                <w:highlight w:val="none"/>
              </w:rPr>
            </w:pPr>
            <w:r>
              <w:rPr>
                <w:rFonts w:hint="eastAsia" w:ascii="宋体" w:hAnsi="宋体"/>
                <w:b/>
                <w:color w:val="auto"/>
                <w:highlight w:val="none"/>
              </w:rPr>
              <w:t>数量</w:t>
            </w:r>
          </w:p>
        </w:tc>
        <w:tc>
          <w:tcPr>
            <w:tcW w:w="1995" w:type="dxa"/>
            <w:tcBorders>
              <w:top w:val="double" w:color="auto" w:sz="4" w:space="0"/>
              <w:bottom w:val="single" w:color="auto" w:sz="6" w:space="0"/>
            </w:tcBorders>
            <w:shd w:val="clear" w:color="auto" w:fill="D9D9D9"/>
            <w:vAlign w:val="center"/>
          </w:tcPr>
          <w:p>
            <w:pPr>
              <w:autoSpaceDE w:val="0"/>
              <w:autoSpaceDN w:val="0"/>
              <w:adjustRightInd w:val="0"/>
              <w:jc w:val="center"/>
              <w:rPr>
                <w:rFonts w:ascii="宋体" w:hAnsi="宋体"/>
                <w:b/>
                <w:color w:val="auto"/>
                <w:highlight w:val="none"/>
              </w:rPr>
            </w:pPr>
            <w:r>
              <w:rPr>
                <w:rFonts w:hint="eastAsia" w:ascii="宋体" w:hAnsi="宋体"/>
                <w:b/>
                <w:color w:val="auto"/>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Ex>
        <w:trPr>
          <w:trHeight w:val="292" w:hRule="atLeast"/>
        </w:trPr>
        <w:tc>
          <w:tcPr>
            <w:tcW w:w="630" w:type="dxa"/>
            <w:tcBorders>
              <w:top w:val="single" w:color="auto" w:sz="6" w:space="0"/>
            </w:tcBorders>
            <w:vAlign w:val="center"/>
          </w:tcPr>
          <w:p>
            <w:pPr>
              <w:autoSpaceDE w:val="0"/>
              <w:autoSpaceDN w:val="0"/>
              <w:adjustRightInd w:val="0"/>
              <w:jc w:val="center"/>
              <w:rPr>
                <w:rFonts w:ascii="宋体" w:hAnsi="宋体"/>
                <w:color w:val="auto"/>
                <w:highlight w:val="none"/>
              </w:rPr>
            </w:pPr>
          </w:p>
        </w:tc>
        <w:tc>
          <w:tcPr>
            <w:tcW w:w="2100" w:type="dxa"/>
            <w:tcBorders>
              <w:top w:val="single" w:color="auto" w:sz="6" w:space="0"/>
            </w:tcBorders>
            <w:vAlign w:val="center"/>
          </w:tcPr>
          <w:p>
            <w:pPr>
              <w:autoSpaceDE w:val="0"/>
              <w:autoSpaceDN w:val="0"/>
              <w:adjustRightInd w:val="0"/>
              <w:jc w:val="center"/>
              <w:rPr>
                <w:rFonts w:ascii="宋体" w:hAnsi="宋体"/>
                <w:color w:val="auto"/>
                <w:highlight w:val="none"/>
              </w:rPr>
            </w:pPr>
          </w:p>
        </w:tc>
        <w:tc>
          <w:tcPr>
            <w:tcW w:w="1260" w:type="dxa"/>
            <w:tcBorders>
              <w:top w:val="single" w:color="auto" w:sz="6" w:space="0"/>
            </w:tcBorders>
            <w:vAlign w:val="center"/>
          </w:tcPr>
          <w:p>
            <w:pPr>
              <w:autoSpaceDE w:val="0"/>
              <w:autoSpaceDN w:val="0"/>
              <w:adjustRightInd w:val="0"/>
              <w:jc w:val="center"/>
              <w:rPr>
                <w:rFonts w:ascii="宋体" w:hAnsi="宋体"/>
                <w:color w:val="auto"/>
                <w:highlight w:val="none"/>
              </w:rPr>
            </w:pPr>
          </w:p>
        </w:tc>
        <w:tc>
          <w:tcPr>
            <w:tcW w:w="1050" w:type="dxa"/>
            <w:tcBorders>
              <w:top w:val="single" w:color="auto" w:sz="6" w:space="0"/>
            </w:tcBorders>
          </w:tcPr>
          <w:p>
            <w:pPr>
              <w:autoSpaceDE w:val="0"/>
              <w:autoSpaceDN w:val="0"/>
              <w:adjustRightInd w:val="0"/>
              <w:jc w:val="center"/>
              <w:rPr>
                <w:rFonts w:ascii="宋体" w:hAnsi="宋体"/>
                <w:color w:val="auto"/>
                <w:highlight w:val="none"/>
              </w:rPr>
            </w:pPr>
          </w:p>
        </w:tc>
        <w:tc>
          <w:tcPr>
            <w:tcW w:w="1050" w:type="dxa"/>
            <w:tcBorders>
              <w:top w:val="single" w:color="auto" w:sz="6" w:space="0"/>
            </w:tcBorders>
            <w:vAlign w:val="center"/>
          </w:tcPr>
          <w:p>
            <w:pPr>
              <w:autoSpaceDE w:val="0"/>
              <w:autoSpaceDN w:val="0"/>
              <w:adjustRightInd w:val="0"/>
              <w:jc w:val="center"/>
              <w:rPr>
                <w:rFonts w:ascii="宋体" w:hAnsi="宋体"/>
                <w:color w:val="auto"/>
                <w:highlight w:val="none"/>
              </w:rPr>
            </w:pPr>
          </w:p>
        </w:tc>
        <w:tc>
          <w:tcPr>
            <w:tcW w:w="1155" w:type="dxa"/>
            <w:tcBorders>
              <w:top w:val="single" w:color="auto" w:sz="6" w:space="0"/>
            </w:tcBorders>
            <w:vAlign w:val="center"/>
          </w:tcPr>
          <w:p>
            <w:pPr>
              <w:autoSpaceDE w:val="0"/>
              <w:autoSpaceDN w:val="0"/>
              <w:adjustRightInd w:val="0"/>
              <w:jc w:val="center"/>
              <w:rPr>
                <w:rFonts w:ascii="宋体" w:hAnsi="宋体"/>
                <w:color w:val="auto"/>
                <w:highlight w:val="none"/>
              </w:rPr>
            </w:pPr>
          </w:p>
        </w:tc>
        <w:tc>
          <w:tcPr>
            <w:tcW w:w="1995" w:type="dxa"/>
            <w:tcBorders>
              <w:top w:val="single" w:color="auto" w:sz="6" w:space="0"/>
            </w:tcBorders>
            <w:vAlign w:val="center"/>
          </w:tcPr>
          <w:p>
            <w:pPr>
              <w:autoSpaceDE w:val="0"/>
              <w:autoSpaceDN w:val="0"/>
              <w:adjustRightInd w:val="0"/>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Ex>
        <w:trPr>
          <w:trHeight w:val="292" w:hRule="atLeast"/>
        </w:trPr>
        <w:tc>
          <w:tcPr>
            <w:tcW w:w="630" w:type="dxa"/>
            <w:vAlign w:val="center"/>
          </w:tcPr>
          <w:p>
            <w:pPr>
              <w:autoSpaceDE w:val="0"/>
              <w:autoSpaceDN w:val="0"/>
              <w:adjustRightInd w:val="0"/>
              <w:jc w:val="center"/>
              <w:rPr>
                <w:rFonts w:ascii="宋体" w:hAnsi="宋体"/>
                <w:color w:val="auto"/>
                <w:highlight w:val="none"/>
              </w:rPr>
            </w:pPr>
          </w:p>
        </w:tc>
        <w:tc>
          <w:tcPr>
            <w:tcW w:w="2100" w:type="dxa"/>
            <w:vAlign w:val="center"/>
          </w:tcPr>
          <w:p>
            <w:pPr>
              <w:autoSpaceDE w:val="0"/>
              <w:autoSpaceDN w:val="0"/>
              <w:adjustRightInd w:val="0"/>
              <w:jc w:val="center"/>
              <w:rPr>
                <w:rFonts w:ascii="宋体" w:hAnsi="宋体"/>
                <w:color w:val="auto"/>
                <w:highlight w:val="none"/>
              </w:rPr>
            </w:pPr>
          </w:p>
        </w:tc>
        <w:tc>
          <w:tcPr>
            <w:tcW w:w="1260" w:type="dxa"/>
            <w:vAlign w:val="center"/>
          </w:tcPr>
          <w:p>
            <w:pPr>
              <w:autoSpaceDE w:val="0"/>
              <w:autoSpaceDN w:val="0"/>
              <w:adjustRightInd w:val="0"/>
              <w:jc w:val="center"/>
              <w:rPr>
                <w:rFonts w:ascii="宋体" w:hAnsi="宋体"/>
                <w:color w:val="auto"/>
                <w:highlight w:val="none"/>
              </w:rPr>
            </w:pPr>
          </w:p>
        </w:tc>
        <w:tc>
          <w:tcPr>
            <w:tcW w:w="1050" w:type="dxa"/>
          </w:tcPr>
          <w:p>
            <w:pPr>
              <w:autoSpaceDE w:val="0"/>
              <w:autoSpaceDN w:val="0"/>
              <w:adjustRightInd w:val="0"/>
              <w:jc w:val="center"/>
              <w:rPr>
                <w:rFonts w:ascii="宋体" w:hAnsi="宋体"/>
                <w:color w:val="auto"/>
                <w:highlight w:val="none"/>
              </w:rPr>
            </w:pPr>
          </w:p>
        </w:tc>
        <w:tc>
          <w:tcPr>
            <w:tcW w:w="1050" w:type="dxa"/>
            <w:vAlign w:val="center"/>
          </w:tcPr>
          <w:p>
            <w:pPr>
              <w:autoSpaceDE w:val="0"/>
              <w:autoSpaceDN w:val="0"/>
              <w:adjustRightInd w:val="0"/>
              <w:jc w:val="center"/>
              <w:rPr>
                <w:rFonts w:ascii="宋体" w:hAnsi="宋体"/>
                <w:color w:val="auto"/>
                <w:highlight w:val="none"/>
              </w:rPr>
            </w:pPr>
          </w:p>
        </w:tc>
        <w:tc>
          <w:tcPr>
            <w:tcW w:w="1155" w:type="dxa"/>
            <w:vAlign w:val="center"/>
          </w:tcPr>
          <w:p>
            <w:pPr>
              <w:autoSpaceDE w:val="0"/>
              <w:autoSpaceDN w:val="0"/>
              <w:adjustRightInd w:val="0"/>
              <w:jc w:val="center"/>
              <w:rPr>
                <w:rFonts w:ascii="宋体" w:hAnsi="宋体"/>
                <w:color w:val="auto"/>
                <w:highlight w:val="none"/>
              </w:rPr>
            </w:pPr>
          </w:p>
        </w:tc>
        <w:tc>
          <w:tcPr>
            <w:tcW w:w="1995" w:type="dxa"/>
            <w:vAlign w:val="center"/>
          </w:tcPr>
          <w:p>
            <w:pPr>
              <w:autoSpaceDE w:val="0"/>
              <w:autoSpaceDN w:val="0"/>
              <w:adjustRightInd w:val="0"/>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Ex>
        <w:trPr>
          <w:trHeight w:val="292" w:hRule="atLeast"/>
        </w:trPr>
        <w:tc>
          <w:tcPr>
            <w:tcW w:w="630" w:type="dxa"/>
            <w:vAlign w:val="center"/>
          </w:tcPr>
          <w:p>
            <w:pPr>
              <w:autoSpaceDE w:val="0"/>
              <w:autoSpaceDN w:val="0"/>
              <w:adjustRightInd w:val="0"/>
              <w:jc w:val="center"/>
              <w:rPr>
                <w:rFonts w:ascii="宋体" w:hAnsi="宋体"/>
                <w:color w:val="auto"/>
                <w:highlight w:val="none"/>
              </w:rPr>
            </w:pPr>
          </w:p>
        </w:tc>
        <w:tc>
          <w:tcPr>
            <w:tcW w:w="2100" w:type="dxa"/>
            <w:vAlign w:val="center"/>
          </w:tcPr>
          <w:p>
            <w:pPr>
              <w:autoSpaceDE w:val="0"/>
              <w:autoSpaceDN w:val="0"/>
              <w:adjustRightInd w:val="0"/>
              <w:jc w:val="center"/>
              <w:rPr>
                <w:rFonts w:ascii="宋体" w:hAnsi="宋体"/>
                <w:color w:val="auto"/>
                <w:highlight w:val="none"/>
              </w:rPr>
            </w:pPr>
          </w:p>
        </w:tc>
        <w:tc>
          <w:tcPr>
            <w:tcW w:w="1260" w:type="dxa"/>
            <w:vAlign w:val="center"/>
          </w:tcPr>
          <w:p>
            <w:pPr>
              <w:autoSpaceDE w:val="0"/>
              <w:autoSpaceDN w:val="0"/>
              <w:adjustRightInd w:val="0"/>
              <w:jc w:val="center"/>
              <w:rPr>
                <w:rFonts w:ascii="宋体" w:hAnsi="宋体"/>
                <w:color w:val="auto"/>
                <w:highlight w:val="none"/>
              </w:rPr>
            </w:pPr>
          </w:p>
        </w:tc>
        <w:tc>
          <w:tcPr>
            <w:tcW w:w="1050" w:type="dxa"/>
          </w:tcPr>
          <w:p>
            <w:pPr>
              <w:autoSpaceDE w:val="0"/>
              <w:autoSpaceDN w:val="0"/>
              <w:adjustRightInd w:val="0"/>
              <w:jc w:val="center"/>
              <w:rPr>
                <w:rFonts w:ascii="宋体" w:hAnsi="宋体"/>
                <w:color w:val="auto"/>
                <w:highlight w:val="none"/>
              </w:rPr>
            </w:pPr>
          </w:p>
        </w:tc>
        <w:tc>
          <w:tcPr>
            <w:tcW w:w="1050" w:type="dxa"/>
            <w:vAlign w:val="center"/>
          </w:tcPr>
          <w:p>
            <w:pPr>
              <w:autoSpaceDE w:val="0"/>
              <w:autoSpaceDN w:val="0"/>
              <w:adjustRightInd w:val="0"/>
              <w:jc w:val="center"/>
              <w:rPr>
                <w:rFonts w:ascii="宋体" w:hAnsi="宋体"/>
                <w:color w:val="auto"/>
                <w:highlight w:val="none"/>
              </w:rPr>
            </w:pPr>
          </w:p>
        </w:tc>
        <w:tc>
          <w:tcPr>
            <w:tcW w:w="1155" w:type="dxa"/>
            <w:vAlign w:val="center"/>
          </w:tcPr>
          <w:p>
            <w:pPr>
              <w:autoSpaceDE w:val="0"/>
              <w:autoSpaceDN w:val="0"/>
              <w:adjustRightInd w:val="0"/>
              <w:jc w:val="center"/>
              <w:rPr>
                <w:rFonts w:ascii="宋体" w:hAnsi="宋体"/>
                <w:color w:val="auto"/>
                <w:highlight w:val="none"/>
              </w:rPr>
            </w:pPr>
          </w:p>
        </w:tc>
        <w:tc>
          <w:tcPr>
            <w:tcW w:w="1995" w:type="dxa"/>
            <w:vAlign w:val="center"/>
          </w:tcPr>
          <w:p>
            <w:pPr>
              <w:autoSpaceDE w:val="0"/>
              <w:autoSpaceDN w:val="0"/>
              <w:adjustRightInd w:val="0"/>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Ex>
        <w:trPr>
          <w:trHeight w:val="292" w:hRule="atLeast"/>
        </w:trPr>
        <w:tc>
          <w:tcPr>
            <w:tcW w:w="630" w:type="dxa"/>
            <w:vAlign w:val="center"/>
          </w:tcPr>
          <w:p>
            <w:pPr>
              <w:autoSpaceDE w:val="0"/>
              <w:autoSpaceDN w:val="0"/>
              <w:adjustRightInd w:val="0"/>
              <w:jc w:val="center"/>
              <w:rPr>
                <w:rFonts w:ascii="宋体" w:hAnsi="宋体"/>
                <w:color w:val="auto"/>
                <w:highlight w:val="none"/>
              </w:rPr>
            </w:pPr>
          </w:p>
        </w:tc>
        <w:tc>
          <w:tcPr>
            <w:tcW w:w="2100" w:type="dxa"/>
            <w:vAlign w:val="center"/>
          </w:tcPr>
          <w:p>
            <w:pPr>
              <w:autoSpaceDE w:val="0"/>
              <w:autoSpaceDN w:val="0"/>
              <w:adjustRightInd w:val="0"/>
              <w:jc w:val="center"/>
              <w:rPr>
                <w:rFonts w:ascii="宋体" w:hAnsi="宋体"/>
                <w:color w:val="auto"/>
                <w:highlight w:val="none"/>
              </w:rPr>
            </w:pPr>
          </w:p>
        </w:tc>
        <w:tc>
          <w:tcPr>
            <w:tcW w:w="1260" w:type="dxa"/>
            <w:vAlign w:val="center"/>
          </w:tcPr>
          <w:p>
            <w:pPr>
              <w:autoSpaceDE w:val="0"/>
              <w:autoSpaceDN w:val="0"/>
              <w:adjustRightInd w:val="0"/>
              <w:jc w:val="center"/>
              <w:rPr>
                <w:rFonts w:ascii="宋体" w:hAnsi="宋体"/>
                <w:b/>
                <w:color w:val="auto"/>
                <w:highlight w:val="none"/>
              </w:rPr>
            </w:pPr>
          </w:p>
        </w:tc>
        <w:tc>
          <w:tcPr>
            <w:tcW w:w="1050" w:type="dxa"/>
          </w:tcPr>
          <w:p>
            <w:pPr>
              <w:autoSpaceDE w:val="0"/>
              <w:autoSpaceDN w:val="0"/>
              <w:adjustRightInd w:val="0"/>
              <w:jc w:val="center"/>
              <w:rPr>
                <w:rFonts w:ascii="宋体" w:hAnsi="宋体"/>
                <w:b/>
                <w:color w:val="auto"/>
                <w:highlight w:val="none"/>
              </w:rPr>
            </w:pPr>
          </w:p>
        </w:tc>
        <w:tc>
          <w:tcPr>
            <w:tcW w:w="1050" w:type="dxa"/>
            <w:vAlign w:val="center"/>
          </w:tcPr>
          <w:p>
            <w:pPr>
              <w:autoSpaceDE w:val="0"/>
              <w:autoSpaceDN w:val="0"/>
              <w:adjustRightInd w:val="0"/>
              <w:jc w:val="center"/>
              <w:rPr>
                <w:rFonts w:ascii="宋体" w:hAnsi="宋体"/>
                <w:b/>
                <w:color w:val="auto"/>
                <w:highlight w:val="none"/>
              </w:rPr>
            </w:pPr>
          </w:p>
        </w:tc>
        <w:tc>
          <w:tcPr>
            <w:tcW w:w="1155" w:type="dxa"/>
            <w:vAlign w:val="center"/>
          </w:tcPr>
          <w:p>
            <w:pPr>
              <w:autoSpaceDE w:val="0"/>
              <w:autoSpaceDN w:val="0"/>
              <w:adjustRightInd w:val="0"/>
              <w:jc w:val="center"/>
              <w:rPr>
                <w:rFonts w:ascii="宋体" w:hAnsi="宋体"/>
                <w:b/>
                <w:color w:val="auto"/>
                <w:highlight w:val="none"/>
              </w:rPr>
            </w:pPr>
          </w:p>
        </w:tc>
        <w:tc>
          <w:tcPr>
            <w:tcW w:w="1995" w:type="dxa"/>
          </w:tcPr>
          <w:p>
            <w:pPr>
              <w:autoSpaceDE w:val="0"/>
              <w:autoSpaceDN w:val="0"/>
              <w:adjustRightInd w:val="0"/>
              <w:jc w:val="center"/>
              <w:rPr>
                <w:rFonts w:ascii="宋体" w:hAnsi="宋体"/>
                <w:b/>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Ex>
        <w:trPr>
          <w:trHeight w:val="292" w:hRule="atLeast"/>
        </w:trPr>
        <w:tc>
          <w:tcPr>
            <w:tcW w:w="630" w:type="dxa"/>
            <w:vAlign w:val="center"/>
          </w:tcPr>
          <w:p>
            <w:pPr>
              <w:autoSpaceDE w:val="0"/>
              <w:autoSpaceDN w:val="0"/>
              <w:adjustRightInd w:val="0"/>
              <w:jc w:val="center"/>
              <w:rPr>
                <w:rFonts w:ascii="宋体" w:hAnsi="宋体"/>
                <w:color w:val="auto"/>
                <w:highlight w:val="none"/>
              </w:rPr>
            </w:pPr>
          </w:p>
        </w:tc>
        <w:tc>
          <w:tcPr>
            <w:tcW w:w="2100" w:type="dxa"/>
            <w:vAlign w:val="center"/>
          </w:tcPr>
          <w:p>
            <w:pPr>
              <w:autoSpaceDE w:val="0"/>
              <w:autoSpaceDN w:val="0"/>
              <w:adjustRightInd w:val="0"/>
              <w:jc w:val="center"/>
              <w:rPr>
                <w:rFonts w:ascii="宋体" w:hAnsi="宋体"/>
                <w:color w:val="auto"/>
                <w:highlight w:val="none"/>
              </w:rPr>
            </w:pPr>
          </w:p>
        </w:tc>
        <w:tc>
          <w:tcPr>
            <w:tcW w:w="1260" w:type="dxa"/>
            <w:vAlign w:val="center"/>
          </w:tcPr>
          <w:p>
            <w:pPr>
              <w:autoSpaceDE w:val="0"/>
              <w:autoSpaceDN w:val="0"/>
              <w:adjustRightInd w:val="0"/>
              <w:jc w:val="center"/>
              <w:rPr>
                <w:rFonts w:ascii="宋体" w:hAnsi="宋体"/>
                <w:b/>
                <w:color w:val="auto"/>
                <w:highlight w:val="none"/>
              </w:rPr>
            </w:pPr>
          </w:p>
        </w:tc>
        <w:tc>
          <w:tcPr>
            <w:tcW w:w="1050" w:type="dxa"/>
          </w:tcPr>
          <w:p>
            <w:pPr>
              <w:autoSpaceDE w:val="0"/>
              <w:autoSpaceDN w:val="0"/>
              <w:adjustRightInd w:val="0"/>
              <w:jc w:val="center"/>
              <w:rPr>
                <w:rFonts w:ascii="宋体" w:hAnsi="宋体"/>
                <w:b/>
                <w:color w:val="auto"/>
                <w:highlight w:val="none"/>
              </w:rPr>
            </w:pPr>
          </w:p>
        </w:tc>
        <w:tc>
          <w:tcPr>
            <w:tcW w:w="1050" w:type="dxa"/>
            <w:vAlign w:val="center"/>
          </w:tcPr>
          <w:p>
            <w:pPr>
              <w:autoSpaceDE w:val="0"/>
              <w:autoSpaceDN w:val="0"/>
              <w:adjustRightInd w:val="0"/>
              <w:jc w:val="center"/>
              <w:rPr>
                <w:rFonts w:ascii="宋体" w:hAnsi="宋体"/>
                <w:b/>
                <w:color w:val="auto"/>
                <w:highlight w:val="none"/>
              </w:rPr>
            </w:pPr>
          </w:p>
        </w:tc>
        <w:tc>
          <w:tcPr>
            <w:tcW w:w="1155" w:type="dxa"/>
            <w:vAlign w:val="center"/>
          </w:tcPr>
          <w:p>
            <w:pPr>
              <w:autoSpaceDE w:val="0"/>
              <w:autoSpaceDN w:val="0"/>
              <w:adjustRightInd w:val="0"/>
              <w:jc w:val="center"/>
              <w:rPr>
                <w:rFonts w:ascii="宋体" w:hAnsi="宋体"/>
                <w:b/>
                <w:color w:val="auto"/>
                <w:highlight w:val="none"/>
              </w:rPr>
            </w:pPr>
          </w:p>
        </w:tc>
        <w:tc>
          <w:tcPr>
            <w:tcW w:w="1995" w:type="dxa"/>
          </w:tcPr>
          <w:p>
            <w:pPr>
              <w:autoSpaceDE w:val="0"/>
              <w:autoSpaceDN w:val="0"/>
              <w:adjustRightInd w:val="0"/>
              <w:jc w:val="center"/>
              <w:rPr>
                <w:rFonts w:ascii="宋体" w:hAnsi="宋体"/>
                <w:b/>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Ex>
        <w:trPr>
          <w:trHeight w:val="292" w:hRule="atLeast"/>
        </w:trPr>
        <w:tc>
          <w:tcPr>
            <w:tcW w:w="630" w:type="dxa"/>
            <w:vAlign w:val="center"/>
          </w:tcPr>
          <w:p>
            <w:pPr>
              <w:autoSpaceDE w:val="0"/>
              <w:autoSpaceDN w:val="0"/>
              <w:adjustRightInd w:val="0"/>
              <w:jc w:val="center"/>
              <w:rPr>
                <w:rFonts w:ascii="宋体" w:hAnsi="宋体"/>
                <w:color w:val="auto"/>
                <w:highlight w:val="none"/>
              </w:rPr>
            </w:pPr>
          </w:p>
        </w:tc>
        <w:tc>
          <w:tcPr>
            <w:tcW w:w="2100" w:type="dxa"/>
            <w:vAlign w:val="center"/>
          </w:tcPr>
          <w:p>
            <w:pPr>
              <w:autoSpaceDE w:val="0"/>
              <w:autoSpaceDN w:val="0"/>
              <w:adjustRightInd w:val="0"/>
              <w:jc w:val="center"/>
              <w:rPr>
                <w:rFonts w:ascii="宋体" w:hAnsi="宋体"/>
                <w:color w:val="auto"/>
                <w:highlight w:val="none"/>
              </w:rPr>
            </w:pPr>
          </w:p>
        </w:tc>
        <w:tc>
          <w:tcPr>
            <w:tcW w:w="1260" w:type="dxa"/>
            <w:vAlign w:val="center"/>
          </w:tcPr>
          <w:p>
            <w:pPr>
              <w:autoSpaceDE w:val="0"/>
              <w:autoSpaceDN w:val="0"/>
              <w:adjustRightInd w:val="0"/>
              <w:jc w:val="center"/>
              <w:rPr>
                <w:rFonts w:ascii="宋体" w:hAnsi="宋体"/>
                <w:b/>
                <w:color w:val="auto"/>
                <w:highlight w:val="none"/>
              </w:rPr>
            </w:pPr>
          </w:p>
        </w:tc>
        <w:tc>
          <w:tcPr>
            <w:tcW w:w="1050" w:type="dxa"/>
          </w:tcPr>
          <w:p>
            <w:pPr>
              <w:autoSpaceDE w:val="0"/>
              <w:autoSpaceDN w:val="0"/>
              <w:adjustRightInd w:val="0"/>
              <w:jc w:val="center"/>
              <w:rPr>
                <w:rFonts w:ascii="宋体" w:hAnsi="宋体"/>
                <w:b/>
                <w:color w:val="auto"/>
                <w:highlight w:val="none"/>
              </w:rPr>
            </w:pPr>
          </w:p>
        </w:tc>
        <w:tc>
          <w:tcPr>
            <w:tcW w:w="1050" w:type="dxa"/>
            <w:vAlign w:val="center"/>
          </w:tcPr>
          <w:p>
            <w:pPr>
              <w:autoSpaceDE w:val="0"/>
              <w:autoSpaceDN w:val="0"/>
              <w:adjustRightInd w:val="0"/>
              <w:jc w:val="center"/>
              <w:rPr>
                <w:rFonts w:ascii="宋体" w:hAnsi="宋体"/>
                <w:b/>
                <w:color w:val="auto"/>
                <w:highlight w:val="none"/>
              </w:rPr>
            </w:pPr>
          </w:p>
        </w:tc>
        <w:tc>
          <w:tcPr>
            <w:tcW w:w="1155" w:type="dxa"/>
            <w:vAlign w:val="center"/>
          </w:tcPr>
          <w:p>
            <w:pPr>
              <w:autoSpaceDE w:val="0"/>
              <w:autoSpaceDN w:val="0"/>
              <w:adjustRightInd w:val="0"/>
              <w:jc w:val="center"/>
              <w:rPr>
                <w:rFonts w:ascii="宋体" w:hAnsi="宋体"/>
                <w:b/>
                <w:color w:val="auto"/>
                <w:highlight w:val="none"/>
              </w:rPr>
            </w:pPr>
          </w:p>
        </w:tc>
        <w:tc>
          <w:tcPr>
            <w:tcW w:w="1995" w:type="dxa"/>
          </w:tcPr>
          <w:p>
            <w:pPr>
              <w:autoSpaceDE w:val="0"/>
              <w:autoSpaceDN w:val="0"/>
              <w:adjustRightInd w:val="0"/>
              <w:jc w:val="center"/>
              <w:rPr>
                <w:rFonts w:ascii="宋体" w:hAnsi="宋体"/>
                <w:b/>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Ex>
        <w:trPr>
          <w:trHeight w:val="292" w:hRule="atLeast"/>
        </w:trPr>
        <w:tc>
          <w:tcPr>
            <w:tcW w:w="630" w:type="dxa"/>
            <w:vAlign w:val="center"/>
          </w:tcPr>
          <w:p>
            <w:pPr>
              <w:autoSpaceDE w:val="0"/>
              <w:autoSpaceDN w:val="0"/>
              <w:adjustRightInd w:val="0"/>
              <w:jc w:val="center"/>
              <w:rPr>
                <w:rFonts w:ascii="宋体" w:hAnsi="宋体"/>
                <w:color w:val="auto"/>
                <w:highlight w:val="none"/>
              </w:rPr>
            </w:pPr>
          </w:p>
        </w:tc>
        <w:tc>
          <w:tcPr>
            <w:tcW w:w="2100" w:type="dxa"/>
            <w:vAlign w:val="center"/>
          </w:tcPr>
          <w:p>
            <w:pPr>
              <w:autoSpaceDE w:val="0"/>
              <w:autoSpaceDN w:val="0"/>
              <w:adjustRightInd w:val="0"/>
              <w:jc w:val="center"/>
              <w:rPr>
                <w:rFonts w:ascii="宋体" w:hAnsi="宋体"/>
                <w:color w:val="auto"/>
                <w:highlight w:val="none"/>
              </w:rPr>
            </w:pPr>
          </w:p>
        </w:tc>
        <w:tc>
          <w:tcPr>
            <w:tcW w:w="1260" w:type="dxa"/>
            <w:vAlign w:val="center"/>
          </w:tcPr>
          <w:p>
            <w:pPr>
              <w:autoSpaceDE w:val="0"/>
              <w:autoSpaceDN w:val="0"/>
              <w:adjustRightInd w:val="0"/>
              <w:jc w:val="center"/>
              <w:rPr>
                <w:rFonts w:ascii="宋体" w:hAnsi="宋体"/>
                <w:b/>
                <w:color w:val="auto"/>
                <w:highlight w:val="none"/>
              </w:rPr>
            </w:pPr>
          </w:p>
        </w:tc>
        <w:tc>
          <w:tcPr>
            <w:tcW w:w="1050" w:type="dxa"/>
          </w:tcPr>
          <w:p>
            <w:pPr>
              <w:autoSpaceDE w:val="0"/>
              <w:autoSpaceDN w:val="0"/>
              <w:adjustRightInd w:val="0"/>
              <w:jc w:val="center"/>
              <w:rPr>
                <w:rFonts w:ascii="宋体" w:hAnsi="宋体"/>
                <w:b/>
                <w:color w:val="auto"/>
                <w:highlight w:val="none"/>
              </w:rPr>
            </w:pPr>
          </w:p>
        </w:tc>
        <w:tc>
          <w:tcPr>
            <w:tcW w:w="1050" w:type="dxa"/>
            <w:vAlign w:val="center"/>
          </w:tcPr>
          <w:p>
            <w:pPr>
              <w:autoSpaceDE w:val="0"/>
              <w:autoSpaceDN w:val="0"/>
              <w:adjustRightInd w:val="0"/>
              <w:jc w:val="center"/>
              <w:rPr>
                <w:rFonts w:ascii="宋体" w:hAnsi="宋体"/>
                <w:b/>
                <w:color w:val="auto"/>
                <w:highlight w:val="none"/>
              </w:rPr>
            </w:pPr>
          </w:p>
        </w:tc>
        <w:tc>
          <w:tcPr>
            <w:tcW w:w="1155" w:type="dxa"/>
            <w:vAlign w:val="center"/>
          </w:tcPr>
          <w:p>
            <w:pPr>
              <w:autoSpaceDE w:val="0"/>
              <w:autoSpaceDN w:val="0"/>
              <w:adjustRightInd w:val="0"/>
              <w:jc w:val="center"/>
              <w:rPr>
                <w:rFonts w:ascii="宋体" w:hAnsi="宋体"/>
                <w:b/>
                <w:color w:val="auto"/>
                <w:highlight w:val="none"/>
              </w:rPr>
            </w:pPr>
          </w:p>
        </w:tc>
        <w:tc>
          <w:tcPr>
            <w:tcW w:w="1995" w:type="dxa"/>
          </w:tcPr>
          <w:p>
            <w:pPr>
              <w:autoSpaceDE w:val="0"/>
              <w:autoSpaceDN w:val="0"/>
              <w:adjustRightInd w:val="0"/>
              <w:jc w:val="center"/>
              <w:rPr>
                <w:rFonts w:ascii="宋体" w:hAnsi="宋体"/>
                <w:b/>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Ex>
        <w:trPr>
          <w:trHeight w:val="292" w:hRule="atLeast"/>
        </w:trPr>
        <w:tc>
          <w:tcPr>
            <w:tcW w:w="630" w:type="dxa"/>
            <w:vAlign w:val="center"/>
          </w:tcPr>
          <w:p>
            <w:pPr>
              <w:autoSpaceDE w:val="0"/>
              <w:autoSpaceDN w:val="0"/>
              <w:adjustRightInd w:val="0"/>
              <w:jc w:val="center"/>
              <w:rPr>
                <w:rFonts w:ascii="宋体" w:hAnsi="宋体"/>
                <w:color w:val="auto"/>
                <w:highlight w:val="none"/>
              </w:rPr>
            </w:pPr>
          </w:p>
        </w:tc>
        <w:tc>
          <w:tcPr>
            <w:tcW w:w="2100" w:type="dxa"/>
            <w:vAlign w:val="center"/>
          </w:tcPr>
          <w:p>
            <w:pPr>
              <w:autoSpaceDE w:val="0"/>
              <w:autoSpaceDN w:val="0"/>
              <w:adjustRightInd w:val="0"/>
              <w:jc w:val="center"/>
              <w:rPr>
                <w:rFonts w:ascii="宋体" w:hAnsi="宋体"/>
                <w:color w:val="auto"/>
                <w:highlight w:val="none"/>
              </w:rPr>
            </w:pPr>
          </w:p>
        </w:tc>
        <w:tc>
          <w:tcPr>
            <w:tcW w:w="1260" w:type="dxa"/>
            <w:vAlign w:val="center"/>
          </w:tcPr>
          <w:p>
            <w:pPr>
              <w:autoSpaceDE w:val="0"/>
              <w:autoSpaceDN w:val="0"/>
              <w:adjustRightInd w:val="0"/>
              <w:jc w:val="center"/>
              <w:rPr>
                <w:rFonts w:ascii="宋体" w:hAnsi="宋体"/>
                <w:b/>
                <w:color w:val="auto"/>
                <w:highlight w:val="none"/>
              </w:rPr>
            </w:pPr>
          </w:p>
        </w:tc>
        <w:tc>
          <w:tcPr>
            <w:tcW w:w="1050" w:type="dxa"/>
          </w:tcPr>
          <w:p>
            <w:pPr>
              <w:autoSpaceDE w:val="0"/>
              <w:autoSpaceDN w:val="0"/>
              <w:adjustRightInd w:val="0"/>
              <w:jc w:val="center"/>
              <w:rPr>
                <w:rFonts w:ascii="宋体" w:hAnsi="宋体"/>
                <w:b/>
                <w:color w:val="auto"/>
                <w:highlight w:val="none"/>
              </w:rPr>
            </w:pPr>
          </w:p>
        </w:tc>
        <w:tc>
          <w:tcPr>
            <w:tcW w:w="1050" w:type="dxa"/>
            <w:vAlign w:val="center"/>
          </w:tcPr>
          <w:p>
            <w:pPr>
              <w:autoSpaceDE w:val="0"/>
              <w:autoSpaceDN w:val="0"/>
              <w:adjustRightInd w:val="0"/>
              <w:jc w:val="center"/>
              <w:rPr>
                <w:rFonts w:ascii="宋体" w:hAnsi="宋体"/>
                <w:b/>
                <w:color w:val="auto"/>
                <w:highlight w:val="none"/>
              </w:rPr>
            </w:pPr>
          </w:p>
        </w:tc>
        <w:tc>
          <w:tcPr>
            <w:tcW w:w="1155" w:type="dxa"/>
            <w:vAlign w:val="center"/>
          </w:tcPr>
          <w:p>
            <w:pPr>
              <w:autoSpaceDE w:val="0"/>
              <w:autoSpaceDN w:val="0"/>
              <w:adjustRightInd w:val="0"/>
              <w:jc w:val="center"/>
              <w:rPr>
                <w:rFonts w:ascii="宋体" w:hAnsi="宋体"/>
                <w:b/>
                <w:color w:val="auto"/>
                <w:highlight w:val="none"/>
              </w:rPr>
            </w:pPr>
          </w:p>
        </w:tc>
        <w:tc>
          <w:tcPr>
            <w:tcW w:w="1995" w:type="dxa"/>
          </w:tcPr>
          <w:p>
            <w:pPr>
              <w:autoSpaceDE w:val="0"/>
              <w:autoSpaceDN w:val="0"/>
              <w:adjustRightInd w:val="0"/>
              <w:jc w:val="center"/>
              <w:rPr>
                <w:rFonts w:ascii="宋体" w:hAnsi="宋体"/>
                <w:b/>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9240" w:type="dxa"/>
            <w:gridSpan w:val="7"/>
            <w:vAlign w:val="center"/>
          </w:tcPr>
          <w:p>
            <w:pPr>
              <w:autoSpaceDE w:val="0"/>
              <w:autoSpaceDN w:val="0"/>
              <w:adjustRightInd w:val="0"/>
              <w:rPr>
                <w:rFonts w:ascii="宋体" w:hAnsi="宋体"/>
                <w:b/>
                <w:color w:val="auto"/>
                <w:highlight w:val="none"/>
              </w:rPr>
            </w:pPr>
            <w:r>
              <w:rPr>
                <w:rFonts w:hint="eastAsia" w:ascii="宋体" w:hAnsi="宋体"/>
                <w:b/>
                <w:color w:val="auto"/>
                <w:highlight w:val="none"/>
              </w:rPr>
              <w:t>具体的供货范围、技术规格详见合同附件</w:t>
            </w:r>
            <w:r>
              <w:rPr>
                <w:rFonts w:hint="eastAsia" w:ascii="宋体" w:hAnsi="宋体"/>
                <w:b/>
                <w:color w:val="auto"/>
                <w:highlight w:val="none"/>
                <w:u w:val="single"/>
              </w:rPr>
              <w:t xml:space="preserve">  1  </w:t>
            </w:r>
            <w:r>
              <w:rPr>
                <w:rFonts w:hint="eastAsia" w:ascii="宋体" w:hAnsi="宋体"/>
                <w:b/>
                <w:color w:val="auto"/>
                <w:highlight w:val="none"/>
              </w:rPr>
              <w:t>。</w:t>
            </w:r>
          </w:p>
        </w:tc>
      </w:tr>
    </w:tbl>
    <w:p>
      <w:pPr>
        <w:spacing w:line="360" w:lineRule="auto"/>
        <w:rPr>
          <w:rFonts w:ascii="宋体" w:hAnsi="宋体"/>
          <w:color w:val="auto"/>
          <w:highlight w:val="none"/>
        </w:rPr>
      </w:pP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价格</w:t>
      </w:r>
    </w:p>
    <w:p>
      <w:pPr>
        <w:spacing w:line="360" w:lineRule="auto"/>
        <w:rPr>
          <w:rFonts w:ascii="宋体" w:hAnsi="宋体"/>
          <w:color w:val="auto"/>
          <w:szCs w:val="21"/>
          <w:highlight w:val="none"/>
        </w:rPr>
      </w:pPr>
      <w:r>
        <w:rPr>
          <w:rFonts w:hint="eastAsia" w:ascii="宋体" w:hAnsi="宋体"/>
          <w:color w:val="auto"/>
          <w:szCs w:val="21"/>
          <w:highlight w:val="none"/>
        </w:rPr>
        <w:t>1.  合同总价：</w:t>
      </w:r>
    </w:p>
    <w:p>
      <w:pPr>
        <w:spacing w:line="360" w:lineRule="auto"/>
        <w:rPr>
          <w:rFonts w:ascii="宋体" w:hAnsi="宋体"/>
          <w:color w:val="auto"/>
          <w:szCs w:val="21"/>
          <w:highlight w:val="none"/>
        </w:rPr>
      </w:pPr>
      <w:r>
        <w:rPr>
          <w:rFonts w:hint="eastAsia" w:ascii="宋体" w:hAnsi="宋体"/>
          <w:color w:val="auto"/>
          <w:szCs w:val="21"/>
          <w:highlight w:val="none"/>
        </w:rPr>
        <w:t xml:space="preserve">           （人民币）大写</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w:t>
      </w:r>
    </w:p>
    <w:p>
      <w:pPr>
        <w:pStyle w:val="628"/>
        <w:spacing w:line="360" w:lineRule="auto"/>
        <w:ind w:left="424" w:hanging="424"/>
        <w:rPr>
          <w:color w:val="auto"/>
          <w:szCs w:val="21"/>
          <w:highlight w:val="none"/>
          <w:u w:val="single"/>
        </w:rPr>
      </w:pPr>
      <w:r>
        <w:rPr>
          <w:rFonts w:hint="eastAsia"/>
          <w:color w:val="auto"/>
          <w:szCs w:val="21"/>
          <w:highlight w:val="none"/>
        </w:rPr>
        <w:t>2.  总价包括了</w:t>
      </w:r>
      <w:r>
        <w:rPr>
          <w:rFonts w:hint="eastAsia" w:hAnsi="宋体"/>
          <w:color w:val="auto"/>
          <w:szCs w:val="21"/>
          <w:highlight w:val="none"/>
        </w:rPr>
        <w:t>货物、相关附件、配套设施</w:t>
      </w:r>
      <w:r>
        <w:rPr>
          <w:rFonts w:hint="eastAsia"/>
          <w:color w:val="auto"/>
          <w:szCs w:val="21"/>
          <w:highlight w:val="none"/>
        </w:rPr>
        <w:t>（</w:t>
      </w:r>
      <w:r>
        <w:rPr>
          <w:rFonts w:hint="eastAsia" w:hAnsi="宋体"/>
          <w:color w:val="auto"/>
          <w:szCs w:val="21"/>
          <w:highlight w:val="none"/>
        </w:rPr>
        <w:t>实现系统功能所需的所有设备和设备安装过程中所需的所有管线和辅助材料</w:t>
      </w:r>
      <w:r>
        <w:rPr>
          <w:rFonts w:hint="eastAsia"/>
          <w:color w:val="auto"/>
          <w:szCs w:val="21"/>
          <w:highlight w:val="none"/>
        </w:rPr>
        <w:t>）</w:t>
      </w:r>
      <w:r>
        <w:rPr>
          <w:rFonts w:hint="eastAsia" w:hAnsi="宋体"/>
          <w:color w:val="auto"/>
          <w:szCs w:val="21"/>
          <w:highlight w:val="none"/>
        </w:rPr>
        <w:t>、包装、一切税费(包括关税、增值税等)、运费、保险费、仓储费、安装调试、验收、培训费、图纸、资料、质保期等相关的全部费用</w:t>
      </w:r>
      <w:r>
        <w:rPr>
          <w:rFonts w:hint="eastAsia"/>
          <w:color w:val="auto"/>
          <w:szCs w:val="21"/>
          <w:highlight w:val="none"/>
        </w:rPr>
        <w:t>。价格明细清单见合同附件</w:t>
      </w:r>
      <w:r>
        <w:rPr>
          <w:rFonts w:hint="eastAsia"/>
          <w:color w:val="auto"/>
          <w:szCs w:val="21"/>
          <w:highlight w:val="none"/>
          <w:u w:val="single"/>
        </w:rPr>
        <w:t xml:space="preserve"> 2 </w:t>
      </w:r>
      <w:r>
        <w:rPr>
          <w:rFonts w:hint="eastAsia"/>
          <w:color w:val="auto"/>
          <w:szCs w:val="21"/>
          <w:highlight w:val="none"/>
        </w:rPr>
        <w:t>。</w:t>
      </w:r>
    </w:p>
    <w:p>
      <w:pPr>
        <w:widowControl w:val="0"/>
        <w:numPr>
          <w:ilvl w:val="0"/>
          <w:numId w:val="23"/>
        </w:numPr>
        <w:tabs>
          <w:tab w:val="left" w:pos="424"/>
          <w:tab w:val="clear" w:pos="630"/>
        </w:tabs>
        <w:spacing w:line="360" w:lineRule="auto"/>
        <w:jc w:val="both"/>
        <w:rPr>
          <w:rFonts w:ascii="宋体"/>
          <w:color w:val="auto"/>
          <w:szCs w:val="21"/>
          <w:highlight w:val="none"/>
        </w:rPr>
      </w:pPr>
      <w:r>
        <w:rPr>
          <w:rFonts w:hint="eastAsia" w:ascii="宋体"/>
          <w:color w:val="auto"/>
          <w:szCs w:val="21"/>
          <w:highlight w:val="none"/>
        </w:rPr>
        <w:t>如合同内容没有变更，本合同价格为固定不变价。</w:t>
      </w:r>
    </w:p>
    <w:p>
      <w:pPr>
        <w:widowControl w:val="0"/>
        <w:numPr>
          <w:ilvl w:val="0"/>
          <w:numId w:val="23"/>
        </w:numPr>
        <w:tabs>
          <w:tab w:val="left" w:pos="424"/>
          <w:tab w:val="clear" w:pos="630"/>
        </w:tabs>
        <w:spacing w:line="360" w:lineRule="auto"/>
        <w:jc w:val="both"/>
        <w:rPr>
          <w:rFonts w:ascii="宋体"/>
          <w:color w:val="auto"/>
          <w:szCs w:val="21"/>
          <w:highlight w:val="none"/>
        </w:rPr>
      </w:pPr>
      <w:r>
        <w:rPr>
          <w:rFonts w:hint="eastAsia" w:ascii="宋体"/>
          <w:color w:val="auto"/>
          <w:szCs w:val="21"/>
          <w:highlight w:val="none"/>
        </w:rPr>
        <w:t>如果单价和数量的乘积与总价不一致时，以单价为准并修正总价。</w:t>
      </w: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货物产地及标准</w:t>
      </w:r>
    </w:p>
    <w:p>
      <w:pPr>
        <w:numPr>
          <w:ilvl w:val="1"/>
          <w:numId w:val="24"/>
        </w:numPr>
        <w:tabs>
          <w:tab w:val="left" w:pos="424"/>
          <w:tab w:val="clear" w:pos="845"/>
        </w:tabs>
        <w:spacing w:line="360" w:lineRule="auto"/>
        <w:ind w:left="424" w:hanging="424"/>
        <w:rPr>
          <w:rFonts w:ascii="宋体"/>
          <w:color w:val="auto"/>
          <w:highlight w:val="none"/>
        </w:rPr>
      </w:pPr>
      <w:r>
        <w:rPr>
          <w:rFonts w:hint="eastAsia" w:ascii="宋体"/>
          <w:color w:val="auto"/>
          <w:szCs w:val="21"/>
          <w:highlight w:val="none"/>
        </w:rPr>
        <w:t>货物为（填写制造商名称）全新的（原装）产品</w:t>
      </w:r>
      <w:r>
        <w:rPr>
          <w:rFonts w:hint="eastAsia" w:ascii="宋体" w:hAnsi="宋体"/>
          <w:color w:val="auto"/>
          <w:szCs w:val="21"/>
          <w:highlight w:val="none"/>
        </w:rPr>
        <w:t>（含零部件、配件、工具等），表面无划伤、无碰撞。</w:t>
      </w:r>
    </w:p>
    <w:p>
      <w:pPr>
        <w:numPr>
          <w:ilvl w:val="1"/>
          <w:numId w:val="24"/>
        </w:numPr>
        <w:tabs>
          <w:tab w:val="left" w:pos="424"/>
          <w:tab w:val="clear" w:pos="845"/>
        </w:tabs>
        <w:spacing w:line="360" w:lineRule="auto"/>
        <w:ind w:left="424" w:hanging="424"/>
        <w:rPr>
          <w:rFonts w:ascii="宋体"/>
          <w:color w:val="auto"/>
          <w:szCs w:val="21"/>
          <w:highlight w:val="none"/>
        </w:rPr>
      </w:pPr>
      <w:r>
        <w:rPr>
          <w:rFonts w:hint="eastAsia" w:ascii="宋体"/>
          <w:color w:val="auto"/>
          <w:szCs w:val="21"/>
          <w:highlight w:val="none"/>
        </w:rPr>
        <w:t>标准：</w:t>
      </w:r>
    </w:p>
    <w:p>
      <w:pPr>
        <w:spacing w:line="360" w:lineRule="auto"/>
        <w:ind w:left="422" w:leftChars="201"/>
        <w:rPr>
          <w:rFonts w:ascii="宋体" w:hAnsi="宋体"/>
          <w:color w:val="auto"/>
          <w:highlight w:val="none"/>
        </w:rPr>
      </w:pPr>
      <w:r>
        <w:rPr>
          <w:rFonts w:hint="eastAsia" w:ascii="宋体" w:hAnsi="宋体"/>
          <w:color w:val="auto"/>
          <w:highlight w:val="none"/>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numPr>
          <w:ilvl w:val="0"/>
          <w:numId w:val="22"/>
        </w:numPr>
        <w:tabs>
          <w:tab w:val="left" w:pos="630"/>
        </w:tabs>
        <w:spacing w:line="360" w:lineRule="auto"/>
        <w:rPr>
          <w:rFonts w:ascii="宋体" w:hAnsi="宋体"/>
          <w:color w:val="auto"/>
          <w:highlight w:val="none"/>
        </w:rPr>
      </w:pPr>
      <w:r>
        <w:rPr>
          <w:rFonts w:hint="eastAsia" w:ascii="宋体" w:hAnsi="宋体"/>
          <w:color w:val="auto"/>
          <w:highlight w:val="none"/>
        </w:rPr>
        <w:t>国内产品或合资厂的产品必须具备出厂合格证。</w:t>
      </w:r>
    </w:p>
    <w:p>
      <w:pPr>
        <w:numPr>
          <w:ilvl w:val="0"/>
          <w:numId w:val="22"/>
        </w:numPr>
        <w:tabs>
          <w:tab w:val="left" w:pos="630"/>
        </w:tabs>
        <w:spacing w:line="360" w:lineRule="auto"/>
        <w:rPr>
          <w:rFonts w:ascii="宋体" w:hAnsi="宋体"/>
          <w:color w:val="auto"/>
          <w:highlight w:val="none"/>
        </w:rPr>
      </w:pPr>
      <w:r>
        <w:rPr>
          <w:rFonts w:hint="eastAsia"/>
          <w:color w:val="auto"/>
          <w:highlight w:val="none"/>
        </w:rPr>
        <w:t>所有软件必须是正版并有制造商使用授权证明。</w:t>
      </w:r>
    </w:p>
    <w:p>
      <w:pPr>
        <w:numPr>
          <w:ilvl w:val="0"/>
          <w:numId w:val="22"/>
        </w:numPr>
        <w:tabs>
          <w:tab w:val="left" w:pos="630"/>
        </w:tabs>
        <w:spacing w:line="360" w:lineRule="auto"/>
        <w:rPr>
          <w:rFonts w:ascii="宋体" w:hAnsi="宋体"/>
          <w:color w:val="auto"/>
          <w:highlight w:val="none"/>
        </w:rPr>
      </w:pPr>
      <w:r>
        <w:rPr>
          <w:rFonts w:hint="eastAsia" w:ascii="宋体" w:hAnsi="宋体"/>
          <w:color w:val="auto"/>
          <w:highlight w:val="none"/>
        </w:rPr>
        <w:t>乙方应将所供物品的用户手册、有关资料及配件、工具等交付给甲方。</w:t>
      </w:r>
    </w:p>
    <w:p>
      <w:pPr>
        <w:numPr>
          <w:ilvl w:val="0"/>
          <w:numId w:val="22"/>
        </w:numPr>
        <w:tabs>
          <w:tab w:val="left" w:pos="630"/>
        </w:tabs>
        <w:spacing w:line="360" w:lineRule="auto"/>
        <w:rPr>
          <w:rFonts w:ascii="宋体" w:hAnsi="宋体"/>
          <w:color w:val="auto"/>
          <w:highlight w:val="none"/>
        </w:rPr>
      </w:pPr>
      <w:r>
        <w:rPr>
          <w:rFonts w:hint="eastAsia"/>
          <w:color w:val="auto"/>
          <w:highlight w:val="none"/>
        </w:rPr>
        <w:t>乙方保证所售系统不会侵犯任何第三方权利。</w:t>
      </w: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包装、运输及保险</w:t>
      </w:r>
    </w:p>
    <w:p>
      <w:pPr>
        <w:widowControl w:val="0"/>
        <w:numPr>
          <w:ilvl w:val="0"/>
          <w:numId w:val="25"/>
        </w:numPr>
        <w:tabs>
          <w:tab w:val="left" w:pos="824"/>
        </w:tabs>
        <w:spacing w:line="360" w:lineRule="auto"/>
        <w:jc w:val="both"/>
        <w:rPr>
          <w:rFonts w:ascii="宋体" w:hAnsi="宋体"/>
          <w:color w:val="auto"/>
          <w:szCs w:val="21"/>
          <w:highlight w:val="none"/>
        </w:rPr>
      </w:pPr>
      <w:r>
        <w:rPr>
          <w:rFonts w:hint="eastAsia" w:ascii="Arial" w:hAnsi="宋体" w:cs="Arial"/>
          <w:color w:val="auto"/>
          <w:szCs w:val="21"/>
          <w:highlight w:val="none"/>
        </w:rPr>
        <w:t>乙方</w:t>
      </w:r>
      <w:r>
        <w:rPr>
          <w:rFonts w:ascii="Arial" w:hAnsi="宋体" w:cs="Arial"/>
          <w:color w:val="auto"/>
          <w:szCs w:val="21"/>
          <w:highlight w:val="none"/>
        </w:rPr>
        <w:t>所供货物必须为制造商原厂包装，</w:t>
      </w:r>
      <w:r>
        <w:rPr>
          <w:rFonts w:hint="eastAsia" w:ascii="宋体" w:hAnsi="宋体"/>
          <w:color w:val="auto"/>
          <w:szCs w:val="21"/>
          <w:highlight w:val="none"/>
        </w:rPr>
        <w:t>包装质量符合国家相关标准，设备的包装均应有良好的防湿、防锈、防潮、防雨、防腐及防碰撞的措施。货物要求有包装材料保护运至现场。凡由于包装不良造成的损失和由此产生的费用均由乙方承担。</w:t>
      </w:r>
    </w:p>
    <w:p>
      <w:pPr>
        <w:widowControl w:val="0"/>
        <w:numPr>
          <w:ilvl w:val="0"/>
          <w:numId w:val="25"/>
        </w:numPr>
        <w:tabs>
          <w:tab w:val="left" w:pos="824"/>
        </w:tabs>
        <w:spacing w:line="360" w:lineRule="auto"/>
        <w:jc w:val="both"/>
        <w:rPr>
          <w:rFonts w:ascii="宋体" w:hAnsi="宋体"/>
          <w:color w:val="auto"/>
          <w:szCs w:val="21"/>
          <w:highlight w:val="none"/>
        </w:rPr>
      </w:pPr>
      <w:r>
        <w:rPr>
          <w:rFonts w:hint="eastAsia" w:ascii="宋体" w:hAnsi="宋体"/>
          <w:color w:val="auto"/>
          <w:szCs w:val="21"/>
          <w:highlight w:val="none"/>
        </w:rPr>
        <w:t>由乙方负责根据甲方指定的安装地点, 将货物材料送到现场过程中的全部运输，包括装卸车、货物现场的搬运。</w:t>
      </w:r>
    </w:p>
    <w:p>
      <w:pPr>
        <w:numPr>
          <w:ilvl w:val="0"/>
          <w:numId w:val="25"/>
        </w:numPr>
        <w:tabs>
          <w:tab w:val="left" w:pos="848"/>
        </w:tabs>
        <w:spacing w:line="360" w:lineRule="auto"/>
        <w:rPr>
          <w:rFonts w:ascii="宋体" w:hAnsi="宋体"/>
          <w:color w:val="auto"/>
          <w:szCs w:val="21"/>
          <w:highlight w:val="none"/>
        </w:rPr>
      </w:pPr>
      <w:r>
        <w:rPr>
          <w:rFonts w:hint="eastAsia" w:ascii="宋体" w:hAnsi="宋体"/>
          <w:color w:val="auto"/>
          <w:szCs w:val="21"/>
          <w:highlight w:val="none"/>
        </w:rPr>
        <w:t>各种设备，必须提供装箱清单，按装箱清单验收货物。</w:t>
      </w:r>
    </w:p>
    <w:p>
      <w:pPr>
        <w:numPr>
          <w:ilvl w:val="0"/>
          <w:numId w:val="25"/>
        </w:numPr>
        <w:tabs>
          <w:tab w:val="left" w:pos="848"/>
        </w:tabs>
        <w:spacing w:line="360" w:lineRule="auto"/>
        <w:rPr>
          <w:rFonts w:ascii="宋体" w:hAnsi="宋体"/>
          <w:color w:val="auto"/>
          <w:szCs w:val="21"/>
          <w:highlight w:val="none"/>
        </w:rPr>
      </w:pPr>
      <w:r>
        <w:rPr>
          <w:rFonts w:hint="eastAsia" w:ascii="宋体" w:hAnsi="宋体"/>
          <w:color w:val="auto"/>
          <w:szCs w:val="21"/>
          <w:highlight w:val="none"/>
        </w:rPr>
        <w:t>货物在现场的保管由乙方负责，直至项目安装、验收完毕。</w:t>
      </w:r>
    </w:p>
    <w:p>
      <w:pPr>
        <w:numPr>
          <w:ilvl w:val="0"/>
          <w:numId w:val="25"/>
        </w:numPr>
        <w:tabs>
          <w:tab w:val="left" w:pos="848"/>
        </w:tabs>
        <w:spacing w:line="360" w:lineRule="auto"/>
        <w:rPr>
          <w:rFonts w:ascii="宋体" w:hAnsi="宋体"/>
          <w:color w:val="auto"/>
          <w:szCs w:val="21"/>
          <w:highlight w:val="none"/>
        </w:rPr>
      </w:pPr>
      <w:r>
        <w:rPr>
          <w:rFonts w:hint="eastAsia" w:ascii="宋体" w:hAnsi="宋体"/>
          <w:color w:val="auto"/>
          <w:szCs w:val="21"/>
          <w:highlight w:val="none"/>
        </w:rPr>
        <w:t>乙方负责货物在系统安装调试验收合格前的保险，负责其派出的现场服务人员人身意外保险。</w:t>
      </w: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货物检验与测试</w:t>
      </w:r>
    </w:p>
    <w:p>
      <w:pPr>
        <w:widowControl w:val="0"/>
        <w:numPr>
          <w:ilvl w:val="4"/>
          <w:numId w:val="26"/>
        </w:numPr>
        <w:tabs>
          <w:tab w:val="left" w:pos="424"/>
        </w:tabs>
        <w:spacing w:line="360" w:lineRule="auto"/>
        <w:ind w:left="424" w:hanging="424"/>
        <w:jc w:val="both"/>
        <w:rPr>
          <w:rFonts w:ascii="宋体" w:hAnsi="宋体"/>
          <w:color w:val="auto"/>
          <w:highlight w:val="none"/>
        </w:rPr>
      </w:pPr>
      <w:r>
        <w:rPr>
          <w:rFonts w:hint="eastAsia" w:ascii="宋体" w:hAnsi="宋体"/>
          <w:color w:val="auto"/>
          <w:highlight w:val="none"/>
        </w:rPr>
        <w:t>甲方有权检验和测试货物以确认货物是否符合合同规格的要求,并且不承担额外的费用。</w:t>
      </w:r>
    </w:p>
    <w:p>
      <w:pPr>
        <w:widowControl w:val="0"/>
        <w:numPr>
          <w:ilvl w:val="4"/>
          <w:numId w:val="26"/>
        </w:numPr>
        <w:tabs>
          <w:tab w:val="left" w:pos="424"/>
        </w:tabs>
        <w:spacing w:line="360" w:lineRule="auto"/>
        <w:ind w:left="424" w:hanging="424"/>
        <w:jc w:val="both"/>
        <w:rPr>
          <w:rFonts w:ascii="宋体" w:hAnsi="宋体"/>
          <w:color w:val="auto"/>
          <w:highlight w:val="none"/>
        </w:rPr>
      </w:pPr>
      <w:r>
        <w:rPr>
          <w:rFonts w:hint="eastAsia" w:ascii="宋体" w:hAnsi="宋体"/>
          <w:color w:val="auto"/>
          <w:highlight w:val="none"/>
        </w:rPr>
        <w:t>如果任何被检验或测试的货物不能满足规格的要求,甲方可以拒绝接受该货物,乙方应更换被拒绝的货物,或者免费进行必要的修改以满足规格的要求。</w:t>
      </w:r>
    </w:p>
    <w:p>
      <w:pPr>
        <w:widowControl w:val="0"/>
        <w:numPr>
          <w:ilvl w:val="4"/>
          <w:numId w:val="26"/>
        </w:numPr>
        <w:tabs>
          <w:tab w:val="left" w:pos="424"/>
        </w:tabs>
        <w:spacing w:line="360" w:lineRule="auto"/>
        <w:ind w:left="424" w:hanging="424"/>
        <w:jc w:val="both"/>
        <w:rPr>
          <w:rFonts w:ascii="宋体" w:hAnsi="宋体"/>
          <w:color w:val="auto"/>
          <w:highlight w:val="none"/>
        </w:rPr>
      </w:pPr>
      <w:r>
        <w:rPr>
          <w:rFonts w:hint="eastAsia" w:ascii="宋体" w:hAnsi="宋体"/>
          <w:color w:val="auto"/>
          <w:highlight w:val="none"/>
        </w:rPr>
        <w:t>交货时，乙方应将制造商对货物的质量、规格、性能、数量和重量等进行详细而全面的检验，并出具一份证明货物符合合同规定的检验证书，检验证书是付款的文件依据之一，但不能作为有关质量、规格、性能、数量和重量的最终检验。制造商检验的结果和细节应附在质量检验证书后面。</w:t>
      </w: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交付使用时间及项目实施地点</w:t>
      </w:r>
    </w:p>
    <w:p>
      <w:pPr>
        <w:numPr>
          <w:ilvl w:val="0"/>
          <w:numId w:val="27"/>
        </w:numPr>
        <w:spacing w:line="360" w:lineRule="auto"/>
        <w:rPr>
          <w:rFonts w:ascii="宋体"/>
          <w:b/>
          <w:color w:val="auto"/>
          <w:highlight w:val="none"/>
        </w:rPr>
      </w:pPr>
      <w:r>
        <w:rPr>
          <w:rFonts w:ascii="Arial" w:hAnsi="Arial"/>
          <w:color w:val="auto"/>
          <w:highlight w:val="none"/>
        </w:rPr>
        <w:t>交付使用</w:t>
      </w:r>
      <w:r>
        <w:rPr>
          <w:rFonts w:hint="eastAsia" w:ascii="Arial" w:hAnsi="Arial"/>
          <w:color w:val="auto"/>
          <w:highlight w:val="none"/>
        </w:rPr>
        <w:t>时间：</w:t>
      </w:r>
      <w:r>
        <w:rPr>
          <w:rFonts w:hint="eastAsia" w:ascii="宋体" w:hAnsi="宋体" w:cs="宋体"/>
          <w:color w:val="auto"/>
          <w:szCs w:val="21"/>
          <w:highlight w:val="none"/>
        </w:rPr>
        <w:t>签订合同之日起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个</w:t>
      </w:r>
      <w:r>
        <w:rPr>
          <w:rFonts w:hint="eastAsia" w:ascii="宋体" w:hAnsi="宋体" w:cs="宋体"/>
          <w:color w:val="auto"/>
          <w:szCs w:val="21"/>
          <w:highlight w:val="none"/>
        </w:rPr>
        <w:t>日历天</w:t>
      </w:r>
      <w:r>
        <w:rPr>
          <w:rFonts w:hint="eastAsia" w:ascii="宋体"/>
          <w:color w:val="auto"/>
          <w:highlight w:val="none"/>
        </w:rPr>
        <w:t>。</w:t>
      </w:r>
    </w:p>
    <w:p>
      <w:pPr>
        <w:numPr>
          <w:ilvl w:val="0"/>
          <w:numId w:val="27"/>
        </w:numPr>
        <w:spacing w:line="360" w:lineRule="auto"/>
        <w:rPr>
          <w:color w:val="auto"/>
          <w:highlight w:val="none"/>
        </w:rPr>
      </w:pPr>
      <w:r>
        <w:rPr>
          <w:rFonts w:hint="eastAsia" w:ascii="Arial" w:hAnsi="Arial"/>
          <w:color w:val="auto"/>
          <w:highlight w:val="none"/>
        </w:rPr>
        <w:t>交货地点：</w:t>
      </w:r>
      <w:r>
        <w:rPr>
          <w:rFonts w:hint="eastAsia" w:ascii="宋体" w:hAnsi="宋体" w:cs="宋体"/>
          <w:color w:val="auto"/>
          <w:kern w:val="28"/>
          <w:szCs w:val="21"/>
          <w:highlight w:val="none"/>
          <w:lang w:eastAsia="zh-CN"/>
        </w:rPr>
        <w:t>中山市坦洲镇政府大院</w:t>
      </w:r>
      <w:r>
        <w:rPr>
          <w:rFonts w:hint="eastAsia" w:ascii="Arial" w:hAnsi="Arial"/>
          <w:color w:val="auto"/>
          <w:highlight w:val="none"/>
        </w:rPr>
        <w:t>。</w:t>
      </w: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付款</w:t>
      </w:r>
    </w:p>
    <w:p>
      <w:pPr>
        <w:numPr>
          <w:ilvl w:val="1"/>
          <w:numId w:val="21"/>
        </w:numPr>
        <w:tabs>
          <w:tab w:val="left" w:pos="420"/>
          <w:tab w:val="clear" w:pos="794"/>
        </w:tabs>
        <w:autoSpaceDE w:val="0"/>
        <w:autoSpaceDN w:val="0"/>
        <w:spacing w:line="360" w:lineRule="auto"/>
        <w:ind w:left="434" w:right="-53" w:hanging="434"/>
        <w:textAlignment w:val="bottom"/>
        <w:rPr>
          <w:rFonts w:ascii="宋体"/>
          <w:color w:val="auto"/>
          <w:szCs w:val="21"/>
          <w:highlight w:val="none"/>
        </w:rPr>
      </w:pPr>
      <w:r>
        <w:rPr>
          <w:rFonts w:hint="eastAsia" w:ascii="宋体"/>
          <w:color w:val="auto"/>
          <w:szCs w:val="21"/>
          <w:highlight w:val="yellow"/>
        </w:rPr>
        <w:t>首期款：设备安装调试结束，提交全部报告材料，调试完成并验收合格后</w:t>
      </w:r>
      <w:r>
        <w:rPr>
          <w:rFonts w:hint="eastAsia" w:ascii="宋体"/>
          <w:color w:val="auto"/>
          <w:szCs w:val="21"/>
          <w:highlight w:val="yellow"/>
          <w:lang w:val="en-US" w:eastAsia="zh-CN"/>
        </w:rPr>
        <w:t>10</w:t>
      </w:r>
      <w:r>
        <w:rPr>
          <w:rFonts w:hint="eastAsia" w:ascii="宋体"/>
          <w:color w:val="auto"/>
          <w:szCs w:val="21"/>
          <w:highlight w:val="yellow"/>
        </w:rPr>
        <w:t>个工作日内支付合同总价的 95 %；</w:t>
      </w:r>
    </w:p>
    <w:p>
      <w:pPr>
        <w:numPr>
          <w:ilvl w:val="1"/>
          <w:numId w:val="21"/>
        </w:numPr>
        <w:tabs>
          <w:tab w:val="left" w:pos="420"/>
          <w:tab w:val="clear" w:pos="794"/>
        </w:tabs>
        <w:autoSpaceDE w:val="0"/>
        <w:autoSpaceDN w:val="0"/>
        <w:spacing w:line="360" w:lineRule="auto"/>
        <w:ind w:left="434" w:right="-53" w:hanging="434"/>
        <w:textAlignment w:val="bottom"/>
        <w:rPr>
          <w:rFonts w:ascii="宋体" w:hAnsi="宋体"/>
          <w:color w:val="auto"/>
          <w:highlight w:val="none"/>
        </w:rPr>
      </w:pPr>
      <w:r>
        <w:rPr>
          <w:rFonts w:hint="eastAsia" w:ascii="宋体"/>
          <w:color w:val="auto"/>
          <w:szCs w:val="21"/>
          <w:highlight w:val="yellow"/>
        </w:rPr>
        <w:t>质保金：从验收合格之日起，正常使用</w:t>
      </w:r>
      <w:r>
        <w:rPr>
          <w:rFonts w:hint="eastAsia" w:ascii="宋体"/>
          <w:color w:val="auto"/>
          <w:szCs w:val="21"/>
          <w:highlight w:val="yellow"/>
          <w:lang w:val="en-US" w:eastAsia="zh-CN"/>
        </w:rPr>
        <w:t>3个月</w:t>
      </w:r>
      <w:r>
        <w:rPr>
          <w:rFonts w:hint="eastAsia" w:ascii="宋体"/>
          <w:color w:val="auto"/>
          <w:szCs w:val="21"/>
          <w:highlight w:val="yellow"/>
        </w:rPr>
        <w:t>后在无发现重大问题的情况下支付合同总价的 5 %。</w:t>
      </w: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安装与调试</w:t>
      </w:r>
    </w:p>
    <w:p>
      <w:pPr>
        <w:widowControl w:val="0"/>
        <w:numPr>
          <w:ilvl w:val="0"/>
          <w:numId w:val="28"/>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乙方派出的服务人员应具备相应的资质及相关的专业知识及技术水平，熟悉本合同所述相关货物的规格、技术指标及安装工艺，有足够能力安装调试本合同的货物并达到本合同要求。</w:t>
      </w:r>
    </w:p>
    <w:p>
      <w:pPr>
        <w:widowControl w:val="0"/>
        <w:numPr>
          <w:ilvl w:val="0"/>
          <w:numId w:val="28"/>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乙方派出的安装队伍须具有相应安装经验及资质</w:t>
      </w:r>
      <w:r>
        <w:rPr>
          <w:rFonts w:ascii="宋体" w:hAnsi="宋体"/>
          <w:color w:val="auto"/>
          <w:szCs w:val="21"/>
          <w:highlight w:val="none"/>
        </w:rPr>
        <w:t xml:space="preserve">, </w:t>
      </w:r>
      <w:r>
        <w:rPr>
          <w:rFonts w:hint="eastAsia" w:ascii="宋体" w:hAnsi="宋体"/>
          <w:color w:val="auto"/>
          <w:szCs w:val="21"/>
          <w:highlight w:val="none"/>
        </w:rPr>
        <w:t>保证安装达到本合同附件中的安装、调试、保养服务条款的要求。</w:t>
      </w:r>
    </w:p>
    <w:p>
      <w:pPr>
        <w:widowControl w:val="0"/>
        <w:numPr>
          <w:ilvl w:val="0"/>
          <w:numId w:val="28"/>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乙方必须对甲方现场进行详细考察，完全了解工地的状况及环境要求。</w:t>
      </w:r>
    </w:p>
    <w:p>
      <w:pPr>
        <w:widowControl w:val="0"/>
        <w:numPr>
          <w:ilvl w:val="0"/>
          <w:numId w:val="28"/>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乙方负责到用户指定的安装地点进行安装调试。</w:t>
      </w:r>
    </w:p>
    <w:p>
      <w:pPr>
        <w:widowControl w:val="0"/>
        <w:numPr>
          <w:ilvl w:val="0"/>
          <w:numId w:val="28"/>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乙方负责提交详细工程安装进度表。</w:t>
      </w:r>
    </w:p>
    <w:p>
      <w:pPr>
        <w:widowControl w:val="0"/>
        <w:numPr>
          <w:ilvl w:val="0"/>
          <w:numId w:val="28"/>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乙方应设安装负责人，负责安装协调管理工作。</w:t>
      </w:r>
    </w:p>
    <w:p>
      <w:pPr>
        <w:widowControl w:val="0"/>
        <w:numPr>
          <w:ilvl w:val="0"/>
          <w:numId w:val="28"/>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安装所需工具设施物料由乙方自备、自费运到现场，完工后自费搬走。</w:t>
      </w:r>
    </w:p>
    <w:p>
      <w:pPr>
        <w:widowControl w:val="0"/>
        <w:numPr>
          <w:ilvl w:val="0"/>
          <w:numId w:val="28"/>
        </w:numPr>
        <w:tabs>
          <w:tab w:val="left" w:pos="424"/>
          <w:tab w:val="clear" w:pos="794"/>
        </w:tabs>
        <w:spacing w:line="360" w:lineRule="auto"/>
        <w:ind w:left="424" w:hanging="424"/>
        <w:jc w:val="both"/>
        <w:rPr>
          <w:rFonts w:ascii="宋体" w:hAnsi="宋体"/>
          <w:color w:val="auto"/>
          <w:szCs w:val="21"/>
          <w:highlight w:val="none"/>
        </w:rPr>
      </w:pPr>
      <w:r>
        <w:rPr>
          <w:rFonts w:ascii="宋体" w:hAnsi="宋体"/>
          <w:color w:val="auto"/>
          <w:szCs w:val="21"/>
          <w:highlight w:val="none"/>
        </w:rPr>
        <w:t>调试：按国家相关施工验收规范进行，分阶段进行调试。</w:t>
      </w:r>
    </w:p>
    <w:p>
      <w:pPr>
        <w:widowControl w:val="0"/>
        <w:numPr>
          <w:ilvl w:val="0"/>
          <w:numId w:val="28"/>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乙方人员实施及监督所供货物的试运行，并在双方商定的一定期限内对所供货物运行、维护实施监督指导，但监督指导并不能免除乙方在质量保证期内所承担的义务。</w:t>
      </w:r>
    </w:p>
    <w:p>
      <w:pPr>
        <w:widowControl w:val="0"/>
        <w:numPr>
          <w:ilvl w:val="0"/>
          <w:numId w:val="28"/>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设备的拆箱、安装、通电、调试等项工作由乙方负责，但必须在甲方指定人员的参与下进行。</w:t>
      </w:r>
    </w:p>
    <w:p>
      <w:pPr>
        <w:widowControl w:val="0"/>
        <w:numPr>
          <w:ilvl w:val="0"/>
          <w:numId w:val="28"/>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设备通电测试应单台进行，所有设备通电自检正常后，才能相互联结。</w:t>
      </w:r>
    </w:p>
    <w:p>
      <w:pPr>
        <w:widowControl w:val="0"/>
        <w:numPr>
          <w:ilvl w:val="0"/>
          <w:numId w:val="28"/>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设备全部安装完成且连接完毕进行系统测试，应严格按测试计划进行，做好各项原始记录，调试的原始记录须经各方签字后作为验收的文件之一。</w:t>
      </w: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现场管理</w:t>
      </w:r>
    </w:p>
    <w:p>
      <w:pPr>
        <w:widowControl w:val="0"/>
        <w:tabs>
          <w:tab w:val="left" w:pos="824"/>
        </w:tabs>
        <w:spacing w:line="360" w:lineRule="auto"/>
        <w:ind w:left="317" w:leftChars="1" w:hanging="315" w:hangingChars="150"/>
        <w:jc w:val="both"/>
        <w:rPr>
          <w:rFonts w:ascii="宋体" w:hAnsi="宋体"/>
          <w:color w:val="auto"/>
          <w:highlight w:val="none"/>
        </w:rPr>
      </w:pPr>
      <w:r>
        <w:rPr>
          <w:rFonts w:hint="eastAsia" w:ascii="宋体" w:hAnsi="宋体"/>
          <w:color w:val="auto"/>
          <w:highlight w:val="none"/>
        </w:rPr>
        <w:t>1． 为便于管理，甲方和乙方在项目期间的联络，应通过指定的乙方和甲方的全权代表进行。</w:t>
      </w:r>
    </w:p>
    <w:p>
      <w:pPr>
        <w:widowControl w:val="0"/>
        <w:tabs>
          <w:tab w:val="left" w:pos="824"/>
        </w:tabs>
        <w:spacing w:line="360" w:lineRule="auto"/>
        <w:ind w:left="422" w:leftChars="1" w:hanging="420" w:hangingChars="200"/>
        <w:jc w:val="both"/>
        <w:rPr>
          <w:rFonts w:ascii="宋体" w:hAnsi="宋体"/>
          <w:color w:val="auto"/>
          <w:highlight w:val="none"/>
        </w:rPr>
      </w:pPr>
      <w:r>
        <w:rPr>
          <w:rFonts w:hint="eastAsia" w:ascii="宋体" w:hAnsi="宋体"/>
          <w:color w:val="auto"/>
          <w:highlight w:val="none"/>
        </w:rPr>
        <w:t>2． 从开始交货到竣工验收结束的整个项目期间，甲方应实施必要的措施配合乙方做好施工现场的安全工作。</w:t>
      </w:r>
    </w:p>
    <w:p>
      <w:pPr>
        <w:widowControl w:val="0"/>
        <w:tabs>
          <w:tab w:val="left" w:pos="824"/>
        </w:tabs>
        <w:spacing w:line="360" w:lineRule="auto"/>
        <w:ind w:left="422" w:leftChars="1" w:hanging="420" w:hangingChars="200"/>
        <w:jc w:val="both"/>
        <w:rPr>
          <w:rFonts w:ascii="宋体" w:hAnsi="宋体"/>
          <w:color w:val="auto"/>
          <w:highlight w:val="none"/>
        </w:rPr>
      </w:pPr>
      <w:r>
        <w:rPr>
          <w:rFonts w:hint="eastAsia" w:ascii="宋体" w:hAnsi="宋体"/>
          <w:color w:val="auto"/>
          <w:highlight w:val="none"/>
        </w:rPr>
        <w:t>3． 乙方派出的服务人员须遵守甲方的各项条例。</w:t>
      </w:r>
    </w:p>
    <w:p>
      <w:pPr>
        <w:widowControl w:val="0"/>
        <w:tabs>
          <w:tab w:val="left" w:pos="824"/>
        </w:tabs>
        <w:spacing w:line="360" w:lineRule="auto"/>
        <w:ind w:left="422" w:leftChars="1" w:hanging="420" w:hangingChars="200"/>
        <w:jc w:val="both"/>
        <w:rPr>
          <w:rFonts w:ascii="宋体" w:hAnsi="宋体"/>
          <w:color w:val="auto"/>
          <w:highlight w:val="none"/>
        </w:rPr>
      </w:pPr>
      <w:r>
        <w:rPr>
          <w:rFonts w:hint="eastAsia" w:ascii="宋体" w:hAnsi="宋体"/>
          <w:color w:val="auto"/>
          <w:highlight w:val="none"/>
        </w:rPr>
        <w:t>4.  乙方派出的服务人员必须遵守安全、文明施工、操作原则，如因乙方原因导致甲方或者其它任何第三方人身、财产损失的，乙方应承担全部责任；</w:t>
      </w: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验收</w:t>
      </w:r>
    </w:p>
    <w:p>
      <w:pPr>
        <w:widowControl w:val="0"/>
        <w:numPr>
          <w:ilvl w:val="1"/>
          <w:numId w:val="21"/>
        </w:numPr>
        <w:tabs>
          <w:tab w:val="left" w:pos="424"/>
          <w:tab w:val="clear" w:pos="794"/>
        </w:tabs>
        <w:spacing w:line="360" w:lineRule="auto"/>
        <w:ind w:left="424" w:hanging="424"/>
        <w:rPr>
          <w:rFonts w:ascii="宋体" w:hAnsi="宋体"/>
          <w:color w:val="auto"/>
          <w:szCs w:val="21"/>
          <w:highlight w:val="none"/>
        </w:rPr>
      </w:pPr>
      <w:r>
        <w:rPr>
          <w:rFonts w:hint="eastAsia" w:ascii="宋体" w:hAnsi="宋体"/>
          <w:color w:val="auto"/>
          <w:szCs w:val="21"/>
          <w:highlight w:val="none"/>
        </w:rPr>
        <w:t>乙方负责在项目验收时将系统的全部有关产品说明书、原厂家安装手册、技术文件、资料、及安装、测试、验收报告等文档汇集成册交付甲方。</w:t>
      </w:r>
    </w:p>
    <w:p>
      <w:pPr>
        <w:widowControl w:val="0"/>
        <w:numPr>
          <w:ilvl w:val="1"/>
          <w:numId w:val="21"/>
        </w:numPr>
        <w:tabs>
          <w:tab w:val="left" w:pos="424"/>
          <w:tab w:val="clear" w:pos="794"/>
        </w:tabs>
        <w:spacing w:line="360" w:lineRule="auto"/>
        <w:ind w:left="424" w:hanging="424"/>
        <w:rPr>
          <w:rFonts w:ascii="宋体" w:hAnsi="宋体"/>
          <w:color w:val="auto"/>
          <w:szCs w:val="21"/>
          <w:highlight w:val="none"/>
        </w:rPr>
      </w:pPr>
      <w:r>
        <w:rPr>
          <w:rFonts w:hint="eastAsia" w:ascii="宋体" w:hAnsi="宋体"/>
          <w:color w:val="auto"/>
          <w:szCs w:val="21"/>
          <w:highlight w:val="none"/>
        </w:rPr>
        <w:t>国外生产的产品必须提供相关的报关手续，合法进口证明等，商检证等。</w:t>
      </w:r>
    </w:p>
    <w:p>
      <w:pPr>
        <w:widowControl w:val="0"/>
        <w:numPr>
          <w:ilvl w:val="1"/>
          <w:numId w:val="21"/>
        </w:numPr>
        <w:tabs>
          <w:tab w:val="left" w:pos="424"/>
          <w:tab w:val="clear" w:pos="794"/>
        </w:tabs>
        <w:spacing w:line="360" w:lineRule="auto"/>
        <w:ind w:left="424" w:hanging="424"/>
        <w:rPr>
          <w:rFonts w:ascii="宋体" w:hAnsi="宋体"/>
          <w:color w:val="auto"/>
          <w:szCs w:val="21"/>
          <w:highlight w:val="none"/>
        </w:rPr>
      </w:pPr>
      <w:r>
        <w:rPr>
          <w:rFonts w:hint="eastAsia" w:ascii="宋体" w:hAnsi="宋体"/>
          <w:color w:val="auto"/>
          <w:szCs w:val="21"/>
          <w:highlight w:val="none"/>
        </w:rPr>
        <w:t>在有关部门进行验收时，甲方应及时配合乙方。</w:t>
      </w:r>
    </w:p>
    <w:p>
      <w:pPr>
        <w:widowControl w:val="0"/>
        <w:numPr>
          <w:ilvl w:val="1"/>
          <w:numId w:val="21"/>
        </w:numPr>
        <w:tabs>
          <w:tab w:val="left" w:pos="424"/>
          <w:tab w:val="clear" w:pos="794"/>
        </w:tabs>
        <w:spacing w:line="360" w:lineRule="auto"/>
        <w:ind w:left="424" w:hanging="424"/>
        <w:rPr>
          <w:rFonts w:ascii="宋体" w:hAnsi="宋体"/>
          <w:color w:val="auto"/>
          <w:szCs w:val="21"/>
          <w:highlight w:val="none"/>
        </w:rPr>
      </w:pPr>
      <w:r>
        <w:rPr>
          <w:rFonts w:hint="eastAsia" w:ascii="宋体" w:hAnsi="宋体"/>
          <w:color w:val="auto"/>
          <w:szCs w:val="21"/>
          <w:highlight w:val="none"/>
        </w:rPr>
        <w:t>乙方提供的货物不符合质量要求，致使货物未达到甲方要求的设计性能，甲方有权拒收货物或解除合同。甲方拒收货物或者解除合同的，标的物毁损、丢失的风险由乙方承担。</w:t>
      </w:r>
    </w:p>
    <w:p>
      <w:pPr>
        <w:widowControl w:val="0"/>
        <w:numPr>
          <w:ilvl w:val="1"/>
          <w:numId w:val="21"/>
        </w:numPr>
        <w:tabs>
          <w:tab w:val="left" w:pos="424"/>
          <w:tab w:val="clear" w:pos="794"/>
        </w:tabs>
        <w:spacing w:line="360" w:lineRule="auto"/>
        <w:ind w:left="424" w:hanging="424"/>
        <w:rPr>
          <w:rFonts w:ascii="宋体" w:hAnsi="宋体"/>
          <w:color w:val="auto"/>
          <w:szCs w:val="21"/>
          <w:highlight w:val="none"/>
        </w:rPr>
      </w:pPr>
      <w:r>
        <w:rPr>
          <w:rFonts w:hint="eastAsia" w:ascii="宋体" w:hAnsi="宋体"/>
          <w:color w:val="auto"/>
          <w:szCs w:val="21"/>
          <w:highlight w:val="none"/>
        </w:rPr>
        <w:t>因物品的质量问题发生争议，由广东省或中山市质检部门进行质量鉴定。物品符合质量标准的，鉴定费由甲方承担；物品不符合质量标准的，鉴定费由乙方承担。</w:t>
      </w:r>
    </w:p>
    <w:p>
      <w:pPr>
        <w:widowControl w:val="0"/>
        <w:numPr>
          <w:ilvl w:val="1"/>
          <w:numId w:val="21"/>
        </w:numPr>
        <w:tabs>
          <w:tab w:val="left" w:pos="424"/>
          <w:tab w:val="clear" w:pos="794"/>
        </w:tabs>
        <w:spacing w:line="360" w:lineRule="auto"/>
        <w:ind w:left="424" w:hanging="424"/>
        <w:rPr>
          <w:rFonts w:ascii="宋体" w:hAnsi="宋体"/>
          <w:color w:val="auto"/>
          <w:szCs w:val="21"/>
          <w:highlight w:val="none"/>
        </w:rPr>
      </w:pPr>
      <w:r>
        <w:rPr>
          <w:rFonts w:hint="eastAsia" w:ascii="宋体" w:hAnsi="宋体"/>
          <w:color w:val="auto"/>
          <w:szCs w:val="21"/>
          <w:highlight w:val="none"/>
        </w:rPr>
        <w:t>甲乙双方按招标文件、投标文件及本合同和有关附件的规定进行验收。</w:t>
      </w:r>
    </w:p>
    <w:p>
      <w:pPr>
        <w:widowControl w:val="0"/>
        <w:numPr>
          <w:ilvl w:val="1"/>
          <w:numId w:val="21"/>
        </w:numPr>
        <w:tabs>
          <w:tab w:val="left" w:pos="424"/>
          <w:tab w:val="clear" w:pos="794"/>
        </w:tabs>
        <w:spacing w:line="360" w:lineRule="auto"/>
        <w:ind w:left="424" w:hanging="424"/>
        <w:rPr>
          <w:rFonts w:ascii="宋体" w:hAnsi="宋体"/>
          <w:color w:val="auto"/>
          <w:highlight w:val="none"/>
        </w:rPr>
      </w:pPr>
      <w:r>
        <w:rPr>
          <w:rFonts w:hint="eastAsia" w:ascii="宋体" w:hAnsi="宋体"/>
          <w:color w:val="auto"/>
          <w:szCs w:val="21"/>
          <w:highlight w:val="none"/>
        </w:rPr>
        <w:t>验收完毕由甲乙双方及在验收报告上签名。</w:t>
      </w: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质量保证及售后服务</w:t>
      </w:r>
    </w:p>
    <w:p>
      <w:pPr>
        <w:widowControl w:val="0"/>
        <w:numPr>
          <w:ilvl w:val="0"/>
          <w:numId w:val="29"/>
        </w:numPr>
        <w:spacing w:line="360" w:lineRule="auto"/>
        <w:jc w:val="both"/>
        <w:rPr>
          <w:rFonts w:ascii="宋体" w:hAnsi="宋体"/>
          <w:color w:val="auto"/>
          <w:szCs w:val="21"/>
          <w:highlight w:val="none"/>
        </w:rPr>
      </w:pPr>
      <w:r>
        <w:rPr>
          <w:rFonts w:hint="eastAsia" w:ascii="宋体" w:hAnsi="宋体"/>
          <w:color w:val="auto"/>
          <w:szCs w:val="21"/>
          <w:highlight w:val="none"/>
        </w:rPr>
        <w:t>乙方必须保证所有设备和配件均为正货；</w:t>
      </w:r>
      <w:r>
        <w:rPr>
          <w:rFonts w:hint="eastAsia" w:ascii="宋体" w:hAnsi="宋体"/>
          <w:color w:val="auto"/>
          <w:szCs w:val="21"/>
          <w:highlight w:val="yellow"/>
        </w:rPr>
        <w:t>乙方提供所供产品保修期为</w:t>
      </w:r>
      <w:r>
        <w:rPr>
          <w:rFonts w:hint="eastAsia" w:ascii="宋体" w:hAnsi="宋体"/>
          <w:color w:val="auto"/>
          <w:szCs w:val="21"/>
          <w:highlight w:val="yellow"/>
          <w:u w:val="single"/>
        </w:rPr>
        <w:t xml:space="preserve">    </w:t>
      </w:r>
      <w:r>
        <w:rPr>
          <w:rFonts w:hint="eastAsia" w:ascii="宋体" w:hAnsi="宋体"/>
          <w:color w:val="auto"/>
          <w:szCs w:val="21"/>
          <w:highlight w:val="yellow"/>
        </w:rPr>
        <w:t>年。</w:t>
      </w:r>
    </w:p>
    <w:p>
      <w:pPr>
        <w:widowControl w:val="0"/>
        <w:numPr>
          <w:ilvl w:val="0"/>
          <w:numId w:val="29"/>
        </w:numPr>
        <w:spacing w:line="360" w:lineRule="auto"/>
        <w:jc w:val="both"/>
        <w:rPr>
          <w:rFonts w:ascii="宋体" w:hAnsi="宋体"/>
          <w:color w:val="auto"/>
          <w:szCs w:val="21"/>
          <w:highlight w:val="none"/>
        </w:rPr>
      </w:pPr>
      <w:r>
        <w:rPr>
          <w:rFonts w:hint="eastAsia" w:ascii="Arial" w:hAnsi="Arial"/>
          <w:color w:val="auto"/>
          <w:highlight w:val="none"/>
        </w:rPr>
        <w:t>可通过电话或书面方式解答产品使用方面的疑问，必要时派驻技术人员专门服务。</w:t>
      </w:r>
      <w:r>
        <w:rPr>
          <w:rFonts w:ascii="Arial" w:hAnsi="Arial"/>
          <w:color w:val="auto"/>
          <w:highlight w:val="none"/>
        </w:rPr>
        <w:t>对客户的服务要求8小时内作出响应，</w:t>
      </w:r>
      <w:r>
        <w:rPr>
          <w:rFonts w:hint="eastAsia" w:ascii="Arial" w:hAnsi="Arial"/>
          <w:color w:val="auto"/>
          <w:highlight w:val="none"/>
        </w:rPr>
        <w:t>24</w:t>
      </w:r>
      <w:r>
        <w:rPr>
          <w:rFonts w:ascii="Arial" w:hAnsi="Arial"/>
          <w:color w:val="auto"/>
          <w:highlight w:val="none"/>
        </w:rPr>
        <w:t>小时到达实验室现场（如电话及远程诊断无法解决），及时帮助用户解决问题。</w:t>
      </w:r>
      <w:r>
        <w:rPr>
          <w:rFonts w:hint="eastAsia" w:ascii="Arial" w:hAnsi="Arial"/>
          <w:color w:val="auto"/>
          <w:highlight w:val="none"/>
        </w:rPr>
        <w:t>如果设备故障在检修24小时后仍无法排除，投标人应在24小时内提供不低于故障设备规格型号档次的备用设备给采购人使用，直至故障设备修复, 投标人负责所有因设备质量问题而产生的费用。</w:t>
      </w:r>
    </w:p>
    <w:p>
      <w:pPr>
        <w:widowControl w:val="0"/>
        <w:numPr>
          <w:ilvl w:val="0"/>
          <w:numId w:val="29"/>
        </w:numPr>
        <w:spacing w:line="360" w:lineRule="auto"/>
        <w:jc w:val="both"/>
        <w:rPr>
          <w:rFonts w:ascii="宋体" w:hAnsi="宋体"/>
          <w:color w:val="auto"/>
          <w:szCs w:val="21"/>
          <w:highlight w:val="none"/>
        </w:rPr>
      </w:pPr>
      <w:r>
        <w:rPr>
          <w:rFonts w:ascii="宋体" w:hAnsi="宋体"/>
          <w:color w:val="auto"/>
          <w:szCs w:val="21"/>
          <w:highlight w:val="none"/>
        </w:rPr>
        <w:t>保修期内，</w:t>
      </w:r>
      <w:r>
        <w:rPr>
          <w:rFonts w:hint="eastAsia" w:ascii="宋体" w:hAnsi="宋体"/>
          <w:color w:val="auto"/>
          <w:szCs w:val="21"/>
          <w:highlight w:val="none"/>
        </w:rPr>
        <w:t>乙方</w:t>
      </w:r>
      <w:r>
        <w:rPr>
          <w:rFonts w:ascii="宋体" w:hAnsi="宋体"/>
          <w:color w:val="auto"/>
          <w:szCs w:val="21"/>
          <w:highlight w:val="none"/>
        </w:rPr>
        <w:t>负责对其提供的设备整机进行维修，并且保证每季度上门检修一次，不再向</w:t>
      </w:r>
      <w:r>
        <w:rPr>
          <w:rFonts w:hint="eastAsia" w:ascii="宋体" w:hAnsi="宋体"/>
          <w:color w:val="auto"/>
          <w:szCs w:val="21"/>
          <w:highlight w:val="none"/>
        </w:rPr>
        <w:t>甲方</w:t>
      </w:r>
      <w:r>
        <w:rPr>
          <w:rFonts w:ascii="宋体" w:hAnsi="宋体"/>
          <w:color w:val="auto"/>
          <w:szCs w:val="21"/>
          <w:highlight w:val="none"/>
        </w:rPr>
        <w:t>收取费用。</w:t>
      </w:r>
    </w:p>
    <w:p>
      <w:pPr>
        <w:widowControl w:val="0"/>
        <w:numPr>
          <w:ilvl w:val="0"/>
          <w:numId w:val="29"/>
        </w:numPr>
        <w:spacing w:line="360" w:lineRule="auto"/>
        <w:jc w:val="both"/>
        <w:rPr>
          <w:rFonts w:ascii="宋体" w:hAnsi="宋体"/>
          <w:color w:val="auto"/>
          <w:szCs w:val="21"/>
          <w:highlight w:val="none"/>
        </w:rPr>
      </w:pPr>
      <w:r>
        <w:rPr>
          <w:rFonts w:ascii="宋体" w:hAnsi="宋体"/>
          <w:color w:val="auto"/>
          <w:szCs w:val="21"/>
          <w:highlight w:val="none"/>
        </w:rPr>
        <w:t>所有设备保修服务方式均为</w:t>
      </w:r>
      <w:r>
        <w:rPr>
          <w:rFonts w:hint="eastAsia" w:ascii="宋体" w:hAnsi="宋体"/>
          <w:color w:val="auto"/>
          <w:szCs w:val="21"/>
          <w:highlight w:val="none"/>
        </w:rPr>
        <w:t>乙方</w:t>
      </w:r>
      <w:r>
        <w:rPr>
          <w:rFonts w:ascii="宋体" w:hAnsi="宋体"/>
          <w:color w:val="auto"/>
          <w:szCs w:val="21"/>
          <w:highlight w:val="none"/>
        </w:rPr>
        <w:t>上门保修，即由</w:t>
      </w:r>
      <w:r>
        <w:rPr>
          <w:rFonts w:hint="eastAsia" w:ascii="宋体" w:hAnsi="宋体"/>
          <w:color w:val="auto"/>
          <w:szCs w:val="21"/>
          <w:highlight w:val="none"/>
        </w:rPr>
        <w:t>乙方</w:t>
      </w:r>
      <w:r>
        <w:rPr>
          <w:rFonts w:ascii="宋体" w:hAnsi="宋体"/>
          <w:color w:val="auto"/>
          <w:szCs w:val="21"/>
          <w:highlight w:val="none"/>
        </w:rPr>
        <w:t>派员到</w:t>
      </w:r>
      <w:r>
        <w:rPr>
          <w:rFonts w:hint="eastAsia" w:ascii="宋体" w:hAnsi="宋体"/>
          <w:color w:val="auto"/>
          <w:szCs w:val="21"/>
          <w:highlight w:val="none"/>
        </w:rPr>
        <w:t>甲方</w:t>
      </w:r>
      <w:r>
        <w:rPr>
          <w:rFonts w:ascii="宋体" w:hAnsi="宋体"/>
          <w:color w:val="auto"/>
          <w:szCs w:val="21"/>
          <w:highlight w:val="none"/>
        </w:rPr>
        <w:t>设备使用现场维修</w:t>
      </w:r>
      <w:r>
        <w:rPr>
          <w:rFonts w:hint="eastAsia" w:ascii="宋体" w:hAnsi="宋体"/>
          <w:color w:val="auto"/>
          <w:szCs w:val="21"/>
          <w:highlight w:val="none"/>
        </w:rPr>
        <w:t>，</w:t>
      </w:r>
      <w:r>
        <w:rPr>
          <w:rFonts w:ascii="宋体" w:hAnsi="宋体"/>
          <w:color w:val="auto"/>
          <w:szCs w:val="21"/>
          <w:highlight w:val="none"/>
        </w:rPr>
        <w:t>由此产生的一切费用均由</w:t>
      </w:r>
      <w:r>
        <w:rPr>
          <w:rFonts w:hint="eastAsia" w:ascii="宋体" w:hAnsi="宋体"/>
          <w:color w:val="auto"/>
          <w:szCs w:val="21"/>
          <w:highlight w:val="none"/>
        </w:rPr>
        <w:t>乙方</w:t>
      </w:r>
      <w:r>
        <w:rPr>
          <w:rFonts w:ascii="宋体" w:hAnsi="宋体"/>
          <w:color w:val="auto"/>
          <w:szCs w:val="21"/>
          <w:highlight w:val="none"/>
        </w:rPr>
        <w:t>承担</w:t>
      </w:r>
      <w:r>
        <w:rPr>
          <w:rFonts w:hint="eastAsia" w:ascii="宋体" w:hAnsi="宋体"/>
          <w:color w:val="auto"/>
          <w:szCs w:val="21"/>
          <w:highlight w:val="none"/>
        </w:rPr>
        <w:t>。质保期为项目验收合格，由甲乙双方签署验收合格证书并办理项目移交之日起算。乙方对项目货物及服务在质保期内实行包修、包换、包退等服务。</w:t>
      </w:r>
      <w:bookmarkStart w:id="41" w:name="_Toc532244437"/>
      <w:bookmarkStart w:id="42" w:name="_Toc7774407"/>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培训</w:t>
      </w:r>
    </w:p>
    <w:p>
      <w:pPr>
        <w:numPr>
          <w:ilvl w:val="1"/>
          <w:numId w:val="21"/>
        </w:numPr>
        <w:tabs>
          <w:tab w:val="left" w:pos="424"/>
          <w:tab w:val="clear" w:pos="794"/>
        </w:tabs>
        <w:adjustRightInd w:val="0"/>
        <w:snapToGrid w:val="0"/>
        <w:spacing w:line="360" w:lineRule="auto"/>
        <w:ind w:left="424" w:hanging="424"/>
        <w:rPr>
          <w:rFonts w:ascii="宋体" w:hAnsi="宋体"/>
          <w:color w:val="auto"/>
          <w:highlight w:val="none"/>
        </w:rPr>
      </w:pPr>
      <w:r>
        <w:rPr>
          <w:rFonts w:hint="eastAsia"/>
          <w:color w:val="auto"/>
          <w:spacing w:val="20"/>
          <w:highlight w:val="none"/>
        </w:rPr>
        <w:t>乙方</w:t>
      </w:r>
      <w:r>
        <w:rPr>
          <w:rFonts w:hint="eastAsia"/>
          <w:color w:val="auto"/>
          <w:highlight w:val="none"/>
        </w:rPr>
        <w:t>负责对甲方人员进行全面技术培训。</w:t>
      </w:r>
    </w:p>
    <w:p>
      <w:pPr>
        <w:numPr>
          <w:ilvl w:val="1"/>
          <w:numId w:val="21"/>
        </w:numPr>
        <w:tabs>
          <w:tab w:val="left" w:pos="424"/>
          <w:tab w:val="clear" w:pos="794"/>
        </w:tabs>
        <w:adjustRightInd w:val="0"/>
        <w:snapToGrid w:val="0"/>
        <w:spacing w:line="360" w:lineRule="auto"/>
        <w:ind w:left="424" w:hanging="424"/>
        <w:rPr>
          <w:rFonts w:ascii="宋体" w:hAnsi="宋体"/>
          <w:color w:val="auto"/>
          <w:highlight w:val="none"/>
        </w:rPr>
      </w:pPr>
      <w:r>
        <w:rPr>
          <w:rFonts w:hint="eastAsia"/>
          <w:color w:val="auto"/>
          <w:highlight w:val="none"/>
        </w:rPr>
        <w:t>培训内容包括</w:t>
      </w:r>
      <w:r>
        <w:rPr>
          <w:rFonts w:hint="eastAsia"/>
          <w:color w:val="auto"/>
          <w:highlight w:val="none"/>
          <w:u w:val="single"/>
        </w:rPr>
        <w:t>（按投标文件的承诺）</w:t>
      </w:r>
      <w:r>
        <w:rPr>
          <w:rFonts w:hint="eastAsia"/>
          <w:color w:val="auto"/>
          <w:highlight w:val="none"/>
        </w:rPr>
        <w:t>。</w:t>
      </w:r>
    </w:p>
    <w:p>
      <w:pPr>
        <w:tabs>
          <w:tab w:val="left" w:pos="424"/>
        </w:tabs>
        <w:adjustRightInd w:val="0"/>
        <w:snapToGrid w:val="0"/>
        <w:spacing w:line="360" w:lineRule="auto"/>
        <w:rPr>
          <w:rFonts w:ascii="宋体" w:hAnsi="宋体"/>
          <w:color w:val="auto"/>
          <w:highlight w:val="none"/>
        </w:rPr>
      </w:pPr>
      <w:r>
        <w:rPr>
          <w:rFonts w:hint="eastAsia" w:ascii="宋体" w:hAnsi="宋体"/>
          <w:color w:val="auto"/>
          <w:highlight w:val="none"/>
        </w:rPr>
        <w:tab/>
      </w:r>
      <w:r>
        <w:rPr>
          <w:rFonts w:hint="eastAsia" w:ascii="宋体" w:hAnsi="宋体"/>
          <w:color w:val="auto"/>
          <w:highlight w:val="none"/>
        </w:rPr>
        <w:t>（具体内容按照中标人投标文件的承诺确定）</w:t>
      </w: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技术</w:t>
      </w:r>
      <w:bookmarkEnd w:id="41"/>
      <w:bookmarkEnd w:id="42"/>
      <w:r>
        <w:rPr>
          <w:rFonts w:hint="eastAsia" w:ascii="宋体" w:hAnsi="宋体"/>
          <w:b/>
          <w:color w:val="auto"/>
          <w:sz w:val="24"/>
          <w:highlight w:val="none"/>
        </w:rPr>
        <w:t>资料</w:t>
      </w:r>
    </w:p>
    <w:p>
      <w:pPr>
        <w:widowControl w:val="0"/>
        <w:numPr>
          <w:ilvl w:val="0"/>
          <w:numId w:val="30"/>
        </w:numPr>
        <w:tabs>
          <w:tab w:val="left" w:pos="0"/>
          <w:tab w:val="left" w:pos="424"/>
          <w:tab w:val="clear" w:pos="590"/>
        </w:tabs>
        <w:autoSpaceDE w:val="0"/>
        <w:autoSpaceDN w:val="0"/>
        <w:adjustRightInd w:val="0"/>
        <w:spacing w:line="360" w:lineRule="auto"/>
        <w:ind w:left="424" w:hanging="424"/>
        <w:jc w:val="both"/>
        <w:rPr>
          <w:rFonts w:ascii="Arial" w:hAnsi="Arial"/>
          <w:color w:val="auto"/>
          <w:highlight w:val="none"/>
        </w:rPr>
      </w:pPr>
      <w:bookmarkStart w:id="43" w:name="_Toc532244438"/>
      <w:bookmarkStart w:id="44" w:name="_Toc7774408"/>
      <w:r>
        <w:rPr>
          <w:rFonts w:hint="eastAsia" w:ascii="Arial" w:hAnsi="Arial"/>
          <w:color w:val="auto"/>
          <w:highlight w:val="none"/>
        </w:rPr>
        <w:t>乙方应于验收合格之日起15日内向采购人提供验收报告、技术文件的归纳、整理、提交。</w:t>
      </w:r>
    </w:p>
    <w:p>
      <w:pPr>
        <w:widowControl w:val="0"/>
        <w:numPr>
          <w:ilvl w:val="0"/>
          <w:numId w:val="30"/>
        </w:numPr>
        <w:tabs>
          <w:tab w:val="left" w:pos="0"/>
          <w:tab w:val="left" w:pos="424"/>
          <w:tab w:val="clear" w:pos="590"/>
        </w:tabs>
        <w:autoSpaceDE w:val="0"/>
        <w:autoSpaceDN w:val="0"/>
        <w:adjustRightInd w:val="0"/>
        <w:spacing w:line="360" w:lineRule="auto"/>
        <w:ind w:left="424" w:hanging="424"/>
        <w:jc w:val="both"/>
        <w:rPr>
          <w:rFonts w:ascii="Arial" w:hAnsi="Arial"/>
          <w:color w:val="auto"/>
          <w:highlight w:val="none"/>
        </w:rPr>
      </w:pPr>
      <w:r>
        <w:rPr>
          <w:rFonts w:hint="eastAsia" w:ascii="Arial" w:hAnsi="Arial"/>
          <w:color w:val="auto"/>
          <w:highlight w:val="none"/>
        </w:rPr>
        <w:t>技术文件：包括验收报告、技术文档、完整的软、硬件技术资料等。</w:t>
      </w:r>
    </w:p>
    <w:p>
      <w:pPr>
        <w:widowControl w:val="0"/>
        <w:numPr>
          <w:ilvl w:val="0"/>
          <w:numId w:val="30"/>
        </w:numPr>
        <w:tabs>
          <w:tab w:val="left" w:pos="0"/>
          <w:tab w:val="left" w:pos="424"/>
          <w:tab w:val="clear" w:pos="590"/>
        </w:tabs>
        <w:autoSpaceDE w:val="0"/>
        <w:autoSpaceDN w:val="0"/>
        <w:adjustRightInd w:val="0"/>
        <w:spacing w:line="360" w:lineRule="auto"/>
        <w:ind w:left="424" w:hanging="424"/>
        <w:jc w:val="both"/>
        <w:rPr>
          <w:color w:val="auto"/>
          <w:sz w:val="24"/>
          <w:highlight w:val="none"/>
        </w:rPr>
      </w:pPr>
      <w:r>
        <w:rPr>
          <w:rFonts w:hint="eastAsia" w:ascii="宋体" w:hAnsi="宋体"/>
          <w:color w:val="auto"/>
          <w:highlight w:val="none"/>
        </w:rPr>
        <w:t>乙方</w:t>
      </w:r>
      <w:r>
        <w:rPr>
          <w:rFonts w:hint="eastAsia" w:ascii="宋体" w:hAnsi="宋体"/>
          <w:color w:val="auto"/>
          <w:szCs w:val="21"/>
          <w:highlight w:val="none"/>
        </w:rPr>
        <w:t>承诺在项目开发过程中及时提交甲方需要的技术文档和资料，项目完成时将项目的全部技术文件、资料及测试、验收报告等文档汇集成册交付甲方。</w:t>
      </w: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知识产权</w:t>
      </w:r>
      <w:bookmarkEnd w:id="43"/>
      <w:bookmarkEnd w:id="44"/>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color w:val="auto"/>
          <w:highlight w:val="none"/>
        </w:rPr>
        <w:t>乙方应保证，甲方在中华人民共和国使用货物、软件及服务或货物、软件及服务的任何一部分时，免受第三方提出侵犯其专利权、商标权、工业设计权或其它知识产权的起诉或法律和经济纠纷。如发生此类纠纷，由乙方承担一切责任并赔偿因此给甲方造成的全部损失</w:t>
      </w:r>
      <w:r>
        <w:rPr>
          <w:rFonts w:hint="eastAsia" w:ascii="宋体" w:hAnsi="宋体"/>
          <w:color w:val="auto"/>
          <w:highlight w:val="none"/>
        </w:rPr>
        <w:t>（包括但不限于诉讼费用、律师费、调查费用及赔偿金等全部损失）</w:t>
      </w:r>
      <w:r>
        <w:rPr>
          <w:rFonts w:hint="eastAsia" w:ascii="宋体"/>
          <w:color w:val="auto"/>
          <w:highlight w:val="none"/>
        </w:rPr>
        <w:t>。</w:t>
      </w:r>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color w:val="auto"/>
          <w:highlight w:val="none"/>
        </w:rPr>
        <w:t>乙方为执行本合同而提供的技术资料、软件的所有权、使用权归甲方所有。</w:t>
      </w:r>
    </w:p>
    <w:p>
      <w:pPr>
        <w:widowControl w:val="0"/>
        <w:numPr>
          <w:ilvl w:val="0"/>
          <w:numId w:val="21"/>
        </w:numPr>
        <w:tabs>
          <w:tab w:val="left" w:pos="840"/>
        </w:tabs>
        <w:spacing w:line="360" w:lineRule="auto"/>
        <w:jc w:val="both"/>
        <w:rPr>
          <w:rFonts w:ascii="宋体" w:hAnsi="宋体"/>
          <w:b/>
          <w:color w:val="auto"/>
          <w:sz w:val="24"/>
          <w:highlight w:val="none"/>
        </w:rPr>
      </w:pPr>
      <w:r>
        <w:rPr>
          <w:rFonts w:hint="eastAsia" w:ascii="宋体" w:hAnsi="宋体"/>
          <w:b/>
          <w:color w:val="auto"/>
          <w:sz w:val="24"/>
          <w:highlight w:val="none"/>
        </w:rPr>
        <w:t>产权与风险转移</w:t>
      </w:r>
    </w:p>
    <w:p>
      <w:pPr>
        <w:widowControl w:val="0"/>
        <w:numPr>
          <w:ilvl w:val="1"/>
          <w:numId w:val="21"/>
        </w:numPr>
        <w:tabs>
          <w:tab w:val="left" w:pos="424"/>
          <w:tab w:val="clear" w:pos="794"/>
        </w:tabs>
        <w:spacing w:line="360" w:lineRule="auto"/>
        <w:ind w:hanging="794"/>
        <w:jc w:val="both"/>
        <w:rPr>
          <w:rFonts w:ascii="宋体" w:hAnsi="宋体"/>
          <w:color w:val="auto"/>
          <w:highlight w:val="none"/>
        </w:rPr>
      </w:pPr>
      <w:r>
        <w:rPr>
          <w:rFonts w:hint="eastAsia" w:ascii="宋体"/>
          <w:color w:val="auto"/>
          <w:highlight w:val="none"/>
        </w:rPr>
        <w:t>货物</w:t>
      </w:r>
      <w:r>
        <w:rPr>
          <w:rFonts w:hint="eastAsia" w:ascii="宋体" w:hAnsi="宋体"/>
          <w:color w:val="auto"/>
          <w:highlight w:val="none"/>
        </w:rPr>
        <w:t>的产权，在</w:t>
      </w:r>
      <w:r>
        <w:rPr>
          <w:rFonts w:hint="eastAsia" w:ascii="宋体"/>
          <w:color w:val="auto"/>
          <w:highlight w:val="none"/>
        </w:rPr>
        <w:t>货物</w:t>
      </w:r>
      <w:r>
        <w:rPr>
          <w:rFonts w:hint="eastAsia" w:ascii="宋体" w:hAnsi="宋体"/>
          <w:color w:val="auto"/>
          <w:highlight w:val="none"/>
        </w:rPr>
        <w:t>验收合格并移交交付后由乙方转移至甲方。</w:t>
      </w:r>
    </w:p>
    <w:p>
      <w:pPr>
        <w:widowControl w:val="0"/>
        <w:numPr>
          <w:ilvl w:val="1"/>
          <w:numId w:val="21"/>
        </w:numPr>
        <w:tabs>
          <w:tab w:val="left" w:pos="424"/>
          <w:tab w:val="clear" w:pos="794"/>
        </w:tabs>
        <w:spacing w:line="360" w:lineRule="auto"/>
        <w:ind w:left="424" w:hanging="424"/>
        <w:jc w:val="both"/>
        <w:rPr>
          <w:rFonts w:ascii="宋体"/>
          <w:color w:val="auto"/>
          <w:highlight w:val="none"/>
        </w:rPr>
      </w:pPr>
      <w:r>
        <w:rPr>
          <w:rFonts w:hint="eastAsia" w:ascii="宋体"/>
          <w:color w:val="auto"/>
          <w:highlight w:val="none"/>
        </w:rPr>
        <w:t>货物损坏、灭失的风险在验收合格，甲乙双方签署验收合格证书并移交交付使用时由乙方转移至甲方。</w:t>
      </w:r>
    </w:p>
    <w:p>
      <w:pPr>
        <w:widowControl w:val="0"/>
        <w:numPr>
          <w:ilvl w:val="1"/>
          <w:numId w:val="21"/>
        </w:numPr>
        <w:tabs>
          <w:tab w:val="left" w:pos="424"/>
          <w:tab w:val="clear" w:pos="794"/>
        </w:tabs>
        <w:spacing w:line="360" w:lineRule="auto"/>
        <w:ind w:left="424" w:hanging="424"/>
        <w:jc w:val="both"/>
        <w:rPr>
          <w:rFonts w:ascii="宋体"/>
          <w:color w:val="auto"/>
          <w:highlight w:val="none"/>
        </w:rPr>
      </w:pPr>
      <w:r>
        <w:rPr>
          <w:rFonts w:hint="eastAsia" w:ascii="宋体"/>
          <w:color w:val="auto"/>
          <w:highlight w:val="none"/>
        </w:rPr>
        <w:t>如货物不符合合同约定，甲方可以拒收，在拒收情况下，或者解除合同的，货物毁损、灭失的风险由乙方承担。</w:t>
      </w:r>
    </w:p>
    <w:p>
      <w:pPr>
        <w:widowControl w:val="0"/>
        <w:numPr>
          <w:ilvl w:val="1"/>
          <w:numId w:val="21"/>
        </w:numPr>
        <w:tabs>
          <w:tab w:val="left" w:pos="424"/>
          <w:tab w:val="clear" w:pos="794"/>
        </w:tabs>
        <w:spacing w:line="360" w:lineRule="auto"/>
        <w:ind w:left="424" w:hanging="424"/>
        <w:jc w:val="both"/>
        <w:rPr>
          <w:rFonts w:ascii="宋体"/>
          <w:color w:val="auto"/>
          <w:highlight w:val="none"/>
        </w:rPr>
      </w:pPr>
      <w:r>
        <w:rPr>
          <w:rFonts w:hint="eastAsia" w:ascii="宋体"/>
          <w:color w:val="auto"/>
          <w:highlight w:val="none"/>
        </w:rPr>
        <w:t>产权和风险的转移，不影响因乙方履行义务不符合约定，甲方要求其承担违约责任的权利。</w:t>
      </w:r>
      <w:bookmarkStart w:id="45" w:name="_Toc7774416"/>
      <w:bookmarkEnd w:id="45"/>
      <w:bookmarkStart w:id="46" w:name="_Toc532244446"/>
      <w:bookmarkEnd w:id="46"/>
    </w:p>
    <w:p>
      <w:pPr>
        <w:widowControl w:val="0"/>
        <w:numPr>
          <w:ilvl w:val="0"/>
          <w:numId w:val="21"/>
        </w:numPr>
        <w:tabs>
          <w:tab w:val="left" w:pos="840"/>
        </w:tabs>
        <w:spacing w:line="360" w:lineRule="auto"/>
        <w:jc w:val="both"/>
        <w:rPr>
          <w:rFonts w:ascii="宋体" w:hAnsi="宋体"/>
          <w:b/>
          <w:color w:val="auto"/>
          <w:sz w:val="24"/>
          <w:highlight w:val="none"/>
        </w:rPr>
      </w:pPr>
      <w:bookmarkStart w:id="47" w:name="_Toc14492293"/>
      <w:bookmarkStart w:id="48" w:name="_Toc527703770"/>
      <w:bookmarkStart w:id="49" w:name="_Toc3718773"/>
      <w:bookmarkStart w:id="50" w:name="_Toc13275811"/>
      <w:bookmarkStart w:id="51" w:name="_Toc526932032"/>
      <w:r>
        <w:rPr>
          <w:rFonts w:hint="eastAsia" w:ascii="宋体" w:hAnsi="宋体"/>
          <w:b/>
          <w:color w:val="auto"/>
          <w:sz w:val="24"/>
          <w:highlight w:val="none"/>
        </w:rPr>
        <w:t>索赔</w:t>
      </w:r>
      <w:bookmarkEnd w:id="47"/>
      <w:bookmarkEnd w:id="48"/>
      <w:bookmarkEnd w:id="49"/>
      <w:bookmarkEnd w:id="50"/>
      <w:bookmarkEnd w:id="51"/>
    </w:p>
    <w:p>
      <w:pPr>
        <w:widowControl w:val="0"/>
        <w:numPr>
          <w:ilvl w:val="1"/>
          <w:numId w:val="21"/>
        </w:numPr>
        <w:tabs>
          <w:tab w:val="left" w:pos="424"/>
          <w:tab w:val="clear" w:pos="794"/>
        </w:tabs>
        <w:spacing w:line="360" w:lineRule="auto"/>
        <w:ind w:hanging="794"/>
        <w:rPr>
          <w:rFonts w:ascii="宋体" w:hAnsi="宋体"/>
          <w:color w:val="auto"/>
          <w:highlight w:val="none"/>
        </w:rPr>
      </w:pPr>
      <w:r>
        <w:rPr>
          <w:rFonts w:hint="eastAsia" w:ascii="宋体" w:hAnsi="宋体"/>
          <w:color w:val="auto"/>
          <w:highlight w:val="none"/>
        </w:rPr>
        <w:t>验收不合格，甲方有权根据有关政府部门的检验结果向乙方提出索赔。</w:t>
      </w:r>
    </w:p>
    <w:p>
      <w:pPr>
        <w:widowControl w:val="0"/>
        <w:numPr>
          <w:ilvl w:val="1"/>
          <w:numId w:val="21"/>
        </w:numPr>
        <w:tabs>
          <w:tab w:val="left" w:pos="424"/>
          <w:tab w:val="clear" w:pos="794"/>
        </w:tabs>
        <w:spacing w:line="360" w:lineRule="auto"/>
        <w:ind w:left="424" w:hanging="424"/>
        <w:rPr>
          <w:rFonts w:ascii="宋体" w:hAnsi="宋体"/>
          <w:color w:val="auto"/>
          <w:highlight w:val="none"/>
        </w:rPr>
      </w:pPr>
      <w:r>
        <w:rPr>
          <w:rFonts w:hint="eastAsia" w:ascii="宋体" w:hAnsi="宋体"/>
          <w:color w:val="auto"/>
          <w:highlight w:val="none"/>
        </w:rPr>
        <w:t>在合同执行期间，如果乙方对甲方提出的索赔和差异负有责任，乙方应按照甲方同意的下列一种或多种方式解决索赔事宜：</w:t>
      </w:r>
    </w:p>
    <w:p>
      <w:pPr>
        <w:widowControl w:val="0"/>
        <w:numPr>
          <w:ilvl w:val="2"/>
          <w:numId w:val="21"/>
        </w:numPr>
        <w:spacing w:line="360" w:lineRule="auto"/>
        <w:jc w:val="both"/>
        <w:rPr>
          <w:rFonts w:ascii="宋体" w:hAnsi="宋体"/>
          <w:color w:val="auto"/>
          <w:highlight w:val="none"/>
        </w:rPr>
      </w:pPr>
      <w:r>
        <w:rPr>
          <w:rFonts w:hint="eastAsia" w:ascii="宋体" w:hAnsi="宋体"/>
          <w:color w:val="auto"/>
          <w:highlight w:val="none"/>
        </w:rPr>
        <w:t>乙方同意退货，并按合同规定的同种货币将甲方已支付的合同价款退还给甲方，并承担由此发生的一切损失和费用（包括但不限于诉讼费用、律师费、调查费用及赔偿金等全部损失）。</w:t>
      </w:r>
    </w:p>
    <w:p>
      <w:pPr>
        <w:widowControl w:val="0"/>
        <w:numPr>
          <w:ilvl w:val="2"/>
          <w:numId w:val="21"/>
        </w:numPr>
        <w:spacing w:line="360" w:lineRule="auto"/>
        <w:jc w:val="both"/>
        <w:rPr>
          <w:rFonts w:ascii="宋体" w:hAnsi="宋体"/>
          <w:color w:val="auto"/>
          <w:highlight w:val="none"/>
        </w:rPr>
      </w:pPr>
      <w:r>
        <w:rPr>
          <w:rFonts w:hint="eastAsia" w:ascii="宋体" w:hAnsi="宋体"/>
          <w:color w:val="auto"/>
          <w:highlight w:val="none"/>
        </w:rPr>
        <w:t>根据货物低劣程度、损坏程度以及甲方所遭受损失的数额</w:t>
      </w:r>
      <w:r>
        <w:rPr>
          <w:rFonts w:hint="eastAsia" w:ascii="宋体"/>
          <w:color w:val="auto"/>
          <w:highlight w:val="none"/>
        </w:rPr>
        <w:t>甲乙</w:t>
      </w:r>
      <w:r>
        <w:rPr>
          <w:rFonts w:hint="eastAsia" w:ascii="宋体" w:hAnsi="宋体"/>
          <w:color w:val="auto"/>
          <w:highlight w:val="none"/>
        </w:rPr>
        <w:t>双方商定降低货物的价格。</w:t>
      </w:r>
    </w:p>
    <w:p>
      <w:pPr>
        <w:widowControl w:val="0"/>
        <w:numPr>
          <w:ilvl w:val="2"/>
          <w:numId w:val="21"/>
        </w:numPr>
        <w:spacing w:line="360" w:lineRule="auto"/>
        <w:jc w:val="both"/>
        <w:rPr>
          <w:rFonts w:ascii="宋体" w:hAnsi="宋体"/>
          <w:color w:val="auto"/>
          <w:highlight w:val="none"/>
        </w:rPr>
      </w:pPr>
      <w:r>
        <w:rPr>
          <w:rFonts w:hint="eastAsia" w:ascii="宋体" w:hAnsi="宋体"/>
          <w:color w:val="auto"/>
          <w:highlight w:val="none"/>
        </w:rPr>
        <w:t>用符合规格、质量和性能要求的新零件、部件或货物来更换有缺陷的部分或修补缺陷的部分，乙方应承担一切费用和风险并负有甲方所发生的一切直接费用。同时，相应延长质量保证期。</w:t>
      </w:r>
    </w:p>
    <w:p>
      <w:pPr>
        <w:widowControl w:val="0"/>
        <w:numPr>
          <w:ilvl w:val="1"/>
          <w:numId w:val="21"/>
        </w:numPr>
        <w:tabs>
          <w:tab w:val="left" w:pos="424"/>
          <w:tab w:val="clear" w:pos="794"/>
        </w:tabs>
        <w:spacing w:line="360" w:lineRule="auto"/>
        <w:ind w:left="424" w:hanging="424"/>
        <w:rPr>
          <w:rFonts w:ascii="宋体" w:hAnsi="宋体"/>
          <w:color w:val="auto"/>
          <w:highlight w:val="none"/>
        </w:rPr>
      </w:pPr>
      <w:r>
        <w:rPr>
          <w:rFonts w:hint="eastAsia" w:ascii="宋体" w:hAnsi="宋体"/>
          <w:color w:val="auto"/>
          <w:highlight w:val="none"/>
        </w:rPr>
        <w:t>乙方收到《索赔通知》后20个日历日内，未给甲方答复的，将被视为索赔以被乙方接受。乙方未能在收到索赔通知后20个日历日内或征得甲方同意的延长期限内，按照甲方从上列方法中选择的方案解决索赔事宜的，甲方将有权从未付货款中扣回索赔金额，同时保留进一步要求索赔的权利（包括但不限于索赔诉讼费用、律师费、调查费用及赔偿金等全部损失）。</w:t>
      </w:r>
    </w:p>
    <w:p>
      <w:pPr>
        <w:widowControl w:val="0"/>
        <w:tabs>
          <w:tab w:val="left" w:pos="424"/>
        </w:tabs>
        <w:spacing w:line="360" w:lineRule="auto"/>
        <w:rPr>
          <w:rFonts w:ascii="宋体" w:hAnsi="宋体"/>
          <w:color w:val="auto"/>
          <w:highlight w:val="none"/>
        </w:rPr>
      </w:pPr>
    </w:p>
    <w:p>
      <w:pPr>
        <w:widowControl w:val="0"/>
        <w:numPr>
          <w:ilvl w:val="0"/>
          <w:numId w:val="21"/>
        </w:numPr>
        <w:tabs>
          <w:tab w:val="clear" w:pos="720"/>
        </w:tabs>
        <w:spacing w:line="360" w:lineRule="auto"/>
        <w:ind w:hanging="488"/>
        <w:jc w:val="both"/>
        <w:rPr>
          <w:rFonts w:ascii="宋体" w:hAnsi="宋体"/>
          <w:b/>
          <w:color w:val="auto"/>
          <w:sz w:val="24"/>
          <w:highlight w:val="none"/>
        </w:rPr>
      </w:pPr>
      <w:r>
        <w:rPr>
          <w:rFonts w:hint="eastAsia" w:ascii="宋体" w:hAnsi="宋体"/>
          <w:b/>
          <w:color w:val="auto"/>
          <w:sz w:val="24"/>
          <w:highlight w:val="none"/>
        </w:rPr>
        <w:t>违约责任</w:t>
      </w:r>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hAnsi="宋体"/>
          <w:color w:val="auto"/>
          <w:highlight w:val="none"/>
        </w:rPr>
        <w:t>若甲方无正当理由拒收货物，则甲方应向乙方支付物品总金额5%的违约金；</w:t>
      </w:r>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hAnsi="宋体"/>
          <w:color w:val="auto"/>
          <w:highlight w:val="none"/>
        </w:rPr>
        <w:t>若甲方无正当理由逾期支付合同价款，则每延迟一日，甲方应按应付未付款项的0.3%向乙方支付违约金，违约金总额不超过合同总金额的5%；</w:t>
      </w:r>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hAnsi="宋体"/>
          <w:color w:val="auto"/>
          <w:highlight w:val="none"/>
        </w:rPr>
        <w:t>乙方逾期完工，则每日按合同总额0.3%向甲方支付违约金，但总额不超过合同总额的10%；若乙方逾期完工超过30天，则甲方有权单方面终止本合同，乙方应自收到甲方《终止合同通知书》之日起15日内退还甲方已支付的全部款项，已发生的一切费用及损失均由乙方自行承担，且乙方应向甲方支付合同总价款10%的违约金，造成甲方损失的乙方还应赔偿甲方因此所遭受的全部损失。</w:t>
      </w:r>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hAnsi="宋体"/>
          <w:color w:val="auto"/>
          <w:highlight w:val="none"/>
        </w:rPr>
        <w:t>若因乙方提供的货物质量、指标不符合投标文件、本合同以及甲方要求导致不能通过甲方验收的，则乙方应在甲方限定的期限内无条件进行整改，若乙方拒绝整改或整改后仍无法通过甲方验收的，则甲方有权单方面终止本合同，乙方应自收到甲方《终止合同通知书》之日起15日内退还甲方已支付的全部款项，已发生的一切费用及损失均由乙方自行承担，且乙方应向甲方支付合同总价款10%的违约金，造成甲方损失的乙方还应赔偿甲方因此所遭受的全部损失。</w:t>
      </w:r>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hAnsi="宋体"/>
          <w:color w:val="auto"/>
          <w:highlight w:val="none"/>
        </w:rPr>
        <w:t>保修期内若乙方未依约履行维修义务的，每发生一次，乙方应向甲方支付违约金人民币伍千元，造成甲方损失的，乙方还应赔偿甲方因此遭受的全部损失，若乙方在甲方通知时起5日内均未能排除故障或者拒绝进行维修的，则甲方有权委托第三方进行维修，且乙方应承担由此产生的全部费用。</w:t>
      </w:r>
    </w:p>
    <w:p>
      <w:pPr>
        <w:widowControl w:val="0"/>
        <w:numPr>
          <w:ilvl w:val="0"/>
          <w:numId w:val="21"/>
        </w:numPr>
        <w:tabs>
          <w:tab w:val="clear" w:pos="720"/>
        </w:tabs>
        <w:spacing w:line="360" w:lineRule="auto"/>
        <w:ind w:hanging="488"/>
        <w:jc w:val="both"/>
        <w:rPr>
          <w:rFonts w:ascii="宋体" w:hAnsi="宋体"/>
          <w:b/>
          <w:color w:val="auto"/>
          <w:sz w:val="24"/>
          <w:highlight w:val="none"/>
        </w:rPr>
      </w:pPr>
      <w:r>
        <w:rPr>
          <w:rFonts w:hint="eastAsia" w:ascii="宋体" w:hAnsi="宋体"/>
          <w:b/>
          <w:color w:val="auto"/>
          <w:sz w:val="24"/>
          <w:highlight w:val="none"/>
        </w:rPr>
        <w:t>保密规定</w:t>
      </w:r>
    </w:p>
    <w:p>
      <w:pPr>
        <w:widowControl w:val="0"/>
        <w:numPr>
          <w:ilvl w:val="1"/>
          <w:numId w:val="21"/>
        </w:numPr>
        <w:tabs>
          <w:tab w:val="left" w:pos="530"/>
          <w:tab w:val="clear" w:pos="794"/>
        </w:tabs>
        <w:spacing w:line="360" w:lineRule="auto"/>
        <w:ind w:left="530" w:hanging="530"/>
        <w:jc w:val="both"/>
        <w:rPr>
          <w:rFonts w:ascii="宋体" w:hAnsi="宋体"/>
          <w:color w:val="auto"/>
          <w:szCs w:val="21"/>
          <w:highlight w:val="none"/>
        </w:rPr>
      </w:pPr>
      <w:r>
        <w:rPr>
          <w:rFonts w:hint="eastAsia" w:ascii="宋体"/>
          <w:color w:val="auto"/>
          <w:highlight w:val="none"/>
        </w:rPr>
        <w:t>甲乙</w:t>
      </w:r>
      <w:r>
        <w:rPr>
          <w:color w:val="auto"/>
          <w:szCs w:val="21"/>
          <w:highlight w:val="none"/>
        </w:rPr>
        <w:t>双方应恪守因签署或履行本合同而获知的对方</w:t>
      </w:r>
      <w:r>
        <w:rPr>
          <w:rFonts w:hint="eastAsia"/>
          <w:color w:val="auto"/>
          <w:szCs w:val="21"/>
          <w:highlight w:val="none"/>
        </w:rPr>
        <w:t>秘密</w:t>
      </w:r>
      <w:r>
        <w:rPr>
          <w:color w:val="auto"/>
          <w:szCs w:val="21"/>
          <w:highlight w:val="none"/>
        </w:rPr>
        <w:t>信息及其它秘密</w:t>
      </w:r>
      <w:r>
        <w:rPr>
          <w:rFonts w:hint="eastAsia"/>
          <w:color w:val="auto"/>
          <w:szCs w:val="21"/>
          <w:highlight w:val="none"/>
        </w:rPr>
        <w:t>资料，特别是国家安全秘密</w:t>
      </w:r>
      <w:r>
        <w:rPr>
          <w:color w:val="auto"/>
          <w:szCs w:val="21"/>
          <w:highlight w:val="none"/>
        </w:rPr>
        <w:t>。任何一方如将获知的对方秘密泄露给第三方，应赔偿因泄密而给对方造成的一切损失并承担相应的法律责任</w:t>
      </w:r>
      <w:r>
        <w:rPr>
          <w:rFonts w:hint="eastAsia"/>
          <w:color w:val="auto"/>
          <w:szCs w:val="21"/>
          <w:highlight w:val="none"/>
        </w:rPr>
        <w:t>（包括刑事责任）</w:t>
      </w:r>
      <w:r>
        <w:rPr>
          <w:color w:val="auto"/>
          <w:szCs w:val="21"/>
          <w:highlight w:val="none"/>
        </w:rPr>
        <w:t>。</w:t>
      </w:r>
    </w:p>
    <w:p>
      <w:pPr>
        <w:widowControl w:val="0"/>
        <w:numPr>
          <w:ilvl w:val="0"/>
          <w:numId w:val="21"/>
        </w:numPr>
        <w:tabs>
          <w:tab w:val="clear" w:pos="720"/>
        </w:tabs>
        <w:spacing w:line="360" w:lineRule="auto"/>
        <w:ind w:hanging="488"/>
        <w:jc w:val="both"/>
        <w:rPr>
          <w:rFonts w:ascii="宋体" w:hAnsi="宋体"/>
          <w:b/>
          <w:color w:val="auto"/>
          <w:sz w:val="24"/>
          <w:highlight w:val="none"/>
        </w:rPr>
      </w:pPr>
      <w:r>
        <w:rPr>
          <w:rFonts w:hint="eastAsia" w:ascii="宋体" w:hAnsi="宋体"/>
          <w:b/>
          <w:color w:val="auto"/>
          <w:sz w:val="24"/>
          <w:highlight w:val="none"/>
        </w:rPr>
        <w:t>争端的解决</w:t>
      </w:r>
    </w:p>
    <w:p>
      <w:pPr>
        <w:widowControl w:val="0"/>
        <w:numPr>
          <w:ilvl w:val="1"/>
          <w:numId w:val="21"/>
        </w:numPr>
        <w:tabs>
          <w:tab w:val="left" w:pos="530"/>
          <w:tab w:val="clear" w:pos="794"/>
        </w:tabs>
        <w:spacing w:line="360" w:lineRule="auto"/>
        <w:ind w:left="530" w:hanging="530"/>
        <w:jc w:val="both"/>
        <w:rPr>
          <w:rFonts w:ascii="宋体"/>
          <w:color w:val="auto"/>
          <w:highlight w:val="none"/>
        </w:rPr>
      </w:pPr>
      <w:r>
        <w:rPr>
          <w:rFonts w:hint="eastAsia" w:ascii="宋体"/>
          <w:color w:val="auto"/>
          <w:highlight w:val="none"/>
        </w:rPr>
        <w:t>凡与本合同有关而引起的一切争议，甲乙双方应首先通过友好协商解决，如经协商后仍不能达成协议时，任何一方可以向甲方所在地法院提出诉讼。</w:t>
      </w:r>
    </w:p>
    <w:p>
      <w:pPr>
        <w:widowControl w:val="0"/>
        <w:numPr>
          <w:ilvl w:val="1"/>
          <w:numId w:val="21"/>
        </w:numPr>
        <w:tabs>
          <w:tab w:val="left" w:pos="530"/>
          <w:tab w:val="clear" w:pos="794"/>
        </w:tabs>
        <w:spacing w:line="360" w:lineRule="auto"/>
        <w:ind w:left="530" w:hanging="530"/>
        <w:jc w:val="both"/>
        <w:rPr>
          <w:rFonts w:ascii="宋体"/>
          <w:color w:val="auto"/>
          <w:highlight w:val="none"/>
        </w:rPr>
      </w:pPr>
      <w:r>
        <w:rPr>
          <w:rFonts w:hint="eastAsia" w:ascii="宋体"/>
          <w:color w:val="auto"/>
          <w:highlight w:val="none"/>
        </w:rPr>
        <w:t>本合同的诉讼管辖地为甲方所在地的法院。</w:t>
      </w:r>
    </w:p>
    <w:p>
      <w:pPr>
        <w:widowControl w:val="0"/>
        <w:numPr>
          <w:ilvl w:val="1"/>
          <w:numId w:val="21"/>
        </w:numPr>
        <w:tabs>
          <w:tab w:val="left" w:pos="530"/>
          <w:tab w:val="clear" w:pos="794"/>
        </w:tabs>
        <w:spacing w:line="360" w:lineRule="auto"/>
        <w:ind w:left="530" w:hanging="530"/>
        <w:jc w:val="both"/>
        <w:rPr>
          <w:rFonts w:ascii="宋体"/>
          <w:color w:val="auto"/>
          <w:highlight w:val="none"/>
        </w:rPr>
      </w:pPr>
      <w:r>
        <w:rPr>
          <w:rFonts w:hint="eastAsia" w:ascii="宋体"/>
          <w:color w:val="auto"/>
          <w:highlight w:val="none"/>
        </w:rPr>
        <w:t>在进行法院审理期间，除提交法院审理的事项外，合同其他部分仍应继续履行。</w:t>
      </w:r>
    </w:p>
    <w:p>
      <w:pPr>
        <w:widowControl w:val="0"/>
        <w:numPr>
          <w:ilvl w:val="1"/>
          <w:numId w:val="21"/>
        </w:numPr>
        <w:tabs>
          <w:tab w:val="left" w:pos="530"/>
          <w:tab w:val="clear" w:pos="794"/>
        </w:tabs>
        <w:spacing w:line="360" w:lineRule="auto"/>
        <w:ind w:left="530" w:hanging="530"/>
        <w:jc w:val="both"/>
        <w:rPr>
          <w:rFonts w:ascii="宋体"/>
          <w:color w:val="auto"/>
          <w:highlight w:val="none"/>
        </w:rPr>
      </w:pPr>
      <w:r>
        <w:rPr>
          <w:rFonts w:hint="eastAsia" w:ascii="宋体"/>
          <w:color w:val="auto"/>
          <w:highlight w:val="none"/>
        </w:rPr>
        <w:t>本合同按照中华人民共和国的法律进行解释。</w:t>
      </w:r>
    </w:p>
    <w:p>
      <w:pPr>
        <w:widowControl w:val="0"/>
        <w:numPr>
          <w:ilvl w:val="0"/>
          <w:numId w:val="21"/>
        </w:numPr>
        <w:tabs>
          <w:tab w:val="clear" w:pos="720"/>
        </w:tabs>
        <w:spacing w:line="360" w:lineRule="auto"/>
        <w:ind w:hanging="488"/>
        <w:jc w:val="both"/>
        <w:rPr>
          <w:rFonts w:ascii="宋体" w:hAnsi="宋体"/>
          <w:b/>
          <w:color w:val="auto"/>
          <w:sz w:val="24"/>
          <w:highlight w:val="none"/>
        </w:rPr>
      </w:pPr>
      <w:r>
        <w:rPr>
          <w:rFonts w:hint="eastAsia" w:ascii="宋体" w:hAnsi="宋体"/>
          <w:b/>
          <w:color w:val="auto"/>
          <w:sz w:val="24"/>
          <w:highlight w:val="none"/>
        </w:rPr>
        <w:t>不可抗力</w:t>
      </w:r>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hAnsi="宋体"/>
          <w:color w:val="auto"/>
          <w:highlight w:val="none"/>
        </w:rPr>
        <w:t>不可抗力是合同签字生效后发生的非有关方所能控制的、无法终止的、不可预防的社会和自然事件，包括但不限于：严重的自然灾害（如台风、洪水、地震、火灾、爆炸等）、战争（不论是否宣战）、叛乱、破坏、动乱、社会敌视行为、罢工等等。</w:t>
      </w:r>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hAnsi="宋体"/>
          <w:color w:val="auto"/>
          <w:highlight w:val="none"/>
        </w:rPr>
        <w:t>合同双方的任何一方，由于不可抗力而影响合同义务执行时，则延迟合同义务的期限相当于不可抗力时间持续的时间，但也不能因为不可抗力的延迟而调整价格。</w:t>
      </w:r>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hAnsi="宋体"/>
          <w:color w:val="auto"/>
          <w:highlight w:val="none"/>
        </w:rPr>
        <w:t>如乙方逾期交货之后遭受不可抗力，不能享受本条规定的责任免除。</w:t>
      </w:r>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hAnsi="宋体"/>
          <w:color w:val="auto"/>
          <w:highlight w:val="none"/>
        </w:rPr>
        <w:t>由于一般公认的人力不可抗拒的原因造成不可意料的事故而不能按合同规定交货验收时，乙方应立即以书面形式通告甲方，并提供相关部门的证明以证明事故的存在。</w:t>
      </w:r>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hAnsi="宋体"/>
          <w:color w:val="auto"/>
          <w:highlight w:val="none"/>
        </w:rPr>
        <w:t>在不可抗力事件发生后,双方应努力寻求采取合理的方案履行不受不可抗力影响的其他事项。如不可抗拒因素继续存在并持续影响达60天以上，</w:t>
      </w:r>
      <w:r>
        <w:rPr>
          <w:rFonts w:hint="eastAsia" w:ascii="宋体"/>
          <w:color w:val="auto"/>
          <w:highlight w:val="none"/>
        </w:rPr>
        <w:t>甲乙</w:t>
      </w:r>
      <w:r>
        <w:rPr>
          <w:rFonts w:hint="eastAsia" w:ascii="宋体" w:hAnsi="宋体"/>
          <w:color w:val="auto"/>
          <w:highlight w:val="none"/>
        </w:rPr>
        <w:t>双方应通过友好协商方式在合理的时间内达成进一步履行合同或解除合同。这时，</w:t>
      </w:r>
      <w:r>
        <w:rPr>
          <w:rFonts w:hint="eastAsia" w:ascii="宋体"/>
          <w:color w:val="auto"/>
          <w:highlight w:val="none"/>
        </w:rPr>
        <w:t>甲乙</w:t>
      </w:r>
      <w:r>
        <w:rPr>
          <w:rFonts w:hint="eastAsia" w:ascii="宋体" w:hAnsi="宋体"/>
          <w:color w:val="auto"/>
          <w:highlight w:val="none"/>
        </w:rPr>
        <w:t>双方均不互提出索赔，甲方不承担终止合同的责任，但不影响双方对非不可抗力造成的违约追究责任。</w:t>
      </w:r>
    </w:p>
    <w:p>
      <w:pPr>
        <w:widowControl w:val="0"/>
        <w:numPr>
          <w:ilvl w:val="0"/>
          <w:numId w:val="21"/>
        </w:numPr>
        <w:tabs>
          <w:tab w:val="left" w:pos="848"/>
          <w:tab w:val="clear" w:pos="720"/>
        </w:tabs>
        <w:spacing w:line="360" w:lineRule="auto"/>
        <w:ind w:hanging="382"/>
        <w:jc w:val="both"/>
        <w:rPr>
          <w:rFonts w:ascii="宋体" w:hAnsi="宋体"/>
          <w:b/>
          <w:color w:val="auto"/>
          <w:sz w:val="24"/>
          <w:highlight w:val="none"/>
        </w:rPr>
      </w:pPr>
      <w:r>
        <w:rPr>
          <w:rFonts w:hint="eastAsia" w:ascii="宋体" w:hAnsi="宋体"/>
          <w:b/>
          <w:color w:val="auto"/>
          <w:sz w:val="24"/>
          <w:highlight w:val="none"/>
        </w:rPr>
        <w:t>税和关税</w:t>
      </w:r>
    </w:p>
    <w:p>
      <w:pPr>
        <w:widowControl w:val="0"/>
        <w:numPr>
          <w:ilvl w:val="1"/>
          <w:numId w:val="21"/>
        </w:numPr>
        <w:tabs>
          <w:tab w:val="left" w:pos="424"/>
          <w:tab w:val="clear" w:pos="794"/>
        </w:tabs>
        <w:spacing w:line="360" w:lineRule="auto"/>
        <w:ind w:left="424" w:hanging="424"/>
        <w:jc w:val="both"/>
        <w:rPr>
          <w:rFonts w:ascii="宋体"/>
          <w:color w:val="auto"/>
          <w:highlight w:val="none"/>
        </w:rPr>
      </w:pPr>
      <w:r>
        <w:rPr>
          <w:rFonts w:hint="eastAsia" w:ascii="宋体"/>
          <w:color w:val="auto"/>
          <w:highlight w:val="none"/>
        </w:rPr>
        <w:t>中国政府根据现行的税法规定对乙方或其雇员征收的与本合同有关的一切税费（包括但不限于产品的进口关税、所有产品的国内增值税）均应由乙方负担。</w:t>
      </w:r>
    </w:p>
    <w:p>
      <w:pPr>
        <w:widowControl w:val="0"/>
        <w:numPr>
          <w:ilvl w:val="1"/>
          <w:numId w:val="21"/>
        </w:numPr>
        <w:tabs>
          <w:tab w:val="left" w:pos="424"/>
          <w:tab w:val="clear" w:pos="794"/>
        </w:tabs>
        <w:spacing w:line="360" w:lineRule="auto"/>
        <w:ind w:left="424" w:hanging="424"/>
        <w:jc w:val="both"/>
        <w:rPr>
          <w:rFonts w:ascii="宋体"/>
          <w:color w:val="auto"/>
          <w:highlight w:val="none"/>
        </w:rPr>
      </w:pPr>
      <w:r>
        <w:rPr>
          <w:rFonts w:hint="eastAsia"/>
          <w:color w:val="auto"/>
          <w:highlight w:val="none"/>
        </w:rPr>
        <w:t>在中国境外发生的与本合同执行有关的一切税费均应由乙方负担。</w:t>
      </w:r>
    </w:p>
    <w:p>
      <w:pPr>
        <w:widowControl w:val="0"/>
        <w:numPr>
          <w:ilvl w:val="0"/>
          <w:numId w:val="21"/>
        </w:numPr>
        <w:tabs>
          <w:tab w:val="left" w:pos="848"/>
          <w:tab w:val="clear" w:pos="720"/>
        </w:tabs>
        <w:spacing w:line="360" w:lineRule="auto"/>
        <w:ind w:hanging="382"/>
        <w:jc w:val="both"/>
        <w:rPr>
          <w:rFonts w:ascii="宋体" w:hAnsi="宋体"/>
          <w:b/>
          <w:color w:val="auto"/>
          <w:sz w:val="24"/>
          <w:highlight w:val="none"/>
        </w:rPr>
      </w:pPr>
      <w:r>
        <w:rPr>
          <w:rFonts w:hint="eastAsia" w:ascii="宋体" w:hAnsi="宋体"/>
          <w:b/>
          <w:color w:val="auto"/>
          <w:sz w:val="24"/>
          <w:highlight w:val="none"/>
        </w:rPr>
        <w:t>合同生效</w:t>
      </w:r>
    </w:p>
    <w:p>
      <w:pPr>
        <w:tabs>
          <w:tab w:val="left" w:pos="800"/>
        </w:tabs>
        <w:spacing w:line="360" w:lineRule="auto"/>
        <w:ind w:firstLine="420"/>
        <w:rPr>
          <w:rFonts w:ascii="宋体"/>
          <w:color w:val="auto"/>
          <w:highlight w:val="none"/>
        </w:rPr>
      </w:pPr>
      <w:r>
        <w:rPr>
          <w:rFonts w:hint="eastAsia" w:ascii="宋体"/>
          <w:color w:val="auto"/>
          <w:highlight w:val="none"/>
        </w:rPr>
        <w:t>本合同</w:t>
      </w:r>
      <w:r>
        <w:rPr>
          <w:rFonts w:hint="eastAsia" w:hAnsi="宋体"/>
          <w:color w:val="auto"/>
          <w:highlight w:val="none"/>
        </w:rPr>
        <w:t>经双方</w:t>
      </w:r>
      <w:r>
        <w:rPr>
          <w:rFonts w:hint="eastAsia" w:ascii="宋体"/>
          <w:color w:val="auto"/>
          <w:highlight w:val="none"/>
        </w:rPr>
        <w:t>授权代表</w:t>
      </w:r>
      <w:r>
        <w:rPr>
          <w:rFonts w:hint="eastAsia" w:hAnsi="宋体"/>
          <w:color w:val="auto"/>
          <w:highlight w:val="none"/>
        </w:rPr>
        <w:t>签字盖后即时生效。</w:t>
      </w:r>
    </w:p>
    <w:p>
      <w:pPr>
        <w:widowControl w:val="0"/>
        <w:numPr>
          <w:ilvl w:val="0"/>
          <w:numId w:val="21"/>
        </w:numPr>
        <w:tabs>
          <w:tab w:val="left" w:pos="848"/>
          <w:tab w:val="clear" w:pos="720"/>
        </w:tabs>
        <w:spacing w:line="360" w:lineRule="auto"/>
        <w:ind w:hanging="382"/>
        <w:jc w:val="both"/>
        <w:rPr>
          <w:rFonts w:ascii="宋体" w:hAnsi="宋体"/>
          <w:b/>
          <w:color w:val="auto"/>
          <w:sz w:val="24"/>
          <w:highlight w:val="none"/>
        </w:rPr>
      </w:pPr>
      <w:r>
        <w:rPr>
          <w:rFonts w:hint="eastAsia" w:ascii="宋体" w:hAnsi="宋体"/>
          <w:b/>
          <w:color w:val="auto"/>
          <w:sz w:val="24"/>
          <w:highlight w:val="none"/>
        </w:rPr>
        <w:t>合同终止</w:t>
      </w:r>
    </w:p>
    <w:p>
      <w:pPr>
        <w:widowControl w:val="0"/>
        <w:spacing w:line="360" w:lineRule="auto"/>
        <w:ind w:firstLine="425"/>
        <w:jc w:val="both"/>
        <w:rPr>
          <w:rFonts w:ascii="宋体" w:hAnsi="宋体"/>
          <w:color w:val="auto"/>
          <w:szCs w:val="21"/>
          <w:highlight w:val="none"/>
        </w:rPr>
      </w:pPr>
      <w:r>
        <w:rPr>
          <w:rFonts w:hint="eastAsia" w:ascii="宋体" w:hAnsi="宋体"/>
          <w:color w:val="auto"/>
          <w:szCs w:val="21"/>
          <w:highlight w:val="none"/>
        </w:rPr>
        <w:t>如果一方严重违反合同，并在收到对方违约通知书后在30天内仍未能改正的，另一方可立即终止本合同。</w:t>
      </w:r>
    </w:p>
    <w:p>
      <w:pPr>
        <w:widowControl w:val="0"/>
        <w:numPr>
          <w:ilvl w:val="0"/>
          <w:numId w:val="21"/>
        </w:numPr>
        <w:tabs>
          <w:tab w:val="left" w:pos="848"/>
          <w:tab w:val="clear" w:pos="720"/>
        </w:tabs>
        <w:spacing w:line="360" w:lineRule="auto"/>
        <w:ind w:hanging="382"/>
        <w:jc w:val="both"/>
        <w:rPr>
          <w:rFonts w:ascii="宋体" w:hAnsi="宋体"/>
          <w:b/>
          <w:color w:val="auto"/>
          <w:sz w:val="24"/>
          <w:highlight w:val="none"/>
        </w:rPr>
      </w:pPr>
      <w:r>
        <w:rPr>
          <w:rFonts w:hint="eastAsia" w:ascii="宋体" w:hAnsi="宋体"/>
          <w:b/>
          <w:color w:val="auto"/>
          <w:sz w:val="24"/>
          <w:highlight w:val="none"/>
        </w:rPr>
        <w:t>法律诉讼</w:t>
      </w:r>
    </w:p>
    <w:p>
      <w:pPr>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签约双方在履约中发生争执和分歧，双方应友好协商解决，若经协商不能达成协议时，则由甲方所在地有管辖权的人民法院提起诉讼诉讼解决。法院受理期间，双方应继续执行合同其余部分。</w:t>
      </w:r>
    </w:p>
    <w:p>
      <w:pPr>
        <w:widowControl w:val="0"/>
        <w:numPr>
          <w:ilvl w:val="0"/>
          <w:numId w:val="21"/>
        </w:numPr>
        <w:tabs>
          <w:tab w:val="left" w:pos="848"/>
          <w:tab w:val="clear" w:pos="720"/>
        </w:tabs>
        <w:spacing w:line="360" w:lineRule="auto"/>
        <w:ind w:hanging="382"/>
        <w:jc w:val="both"/>
        <w:rPr>
          <w:rFonts w:ascii="宋体" w:hAnsi="宋体"/>
          <w:b/>
          <w:color w:val="auto"/>
          <w:sz w:val="24"/>
          <w:highlight w:val="none"/>
        </w:rPr>
      </w:pPr>
      <w:r>
        <w:rPr>
          <w:rFonts w:hint="eastAsia" w:ascii="宋体" w:hAnsi="宋体"/>
          <w:b/>
          <w:color w:val="auto"/>
          <w:sz w:val="24"/>
          <w:highlight w:val="none"/>
        </w:rPr>
        <w:t>其它</w:t>
      </w:r>
    </w:p>
    <w:p>
      <w:pPr>
        <w:widowControl w:val="0"/>
        <w:numPr>
          <w:ilvl w:val="1"/>
          <w:numId w:val="21"/>
        </w:numPr>
        <w:tabs>
          <w:tab w:val="left" w:pos="424"/>
          <w:tab w:val="clear" w:pos="794"/>
        </w:tabs>
        <w:spacing w:line="360" w:lineRule="auto"/>
        <w:ind w:left="424" w:hanging="424"/>
        <w:jc w:val="both"/>
        <w:rPr>
          <w:rFonts w:ascii="宋体" w:hAnsi="宋体"/>
          <w:b/>
          <w:color w:val="auto"/>
          <w:szCs w:val="21"/>
          <w:highlight w:val="none"/>
        </w:rPr>
      </w:pPr>
      <w:r>
        <w:rPr>
          <w:rFonts w:hint="eastAsia" w:ascii="宋体" w:hAnsi="宋体"/>
          <w:color w:val="auto"/>
          <w:szCs w:val="21"/>
          <w:highlight w:val="none"/>
        </w:rPr>
        <w:t>本合同之所有附件均为合同的有效组成部分，与本合同具有同样法律效力。合同与附件之间内容应认为是互为补充和解释，但如有模棱两可或相互矛盾之处，以时间在后的文件为准。本合同与投标文件互为补充，如本合同与投标文件不一致的，以本合同为准。</w:t>
      </w:r>
    </w:p>
    <w:p>
      <w:pPr>
        <w:widowControl w:val="0"/>
        <w:numPr>
          <w:ilvl w:val="1"/>
          <w:numId w:val="21"/>
        </w:numPr>
        <w:tabs>
          <w:tab w:val="left" w:pos="424"/>
          <w:tab w:val="clear" w:pos="794"/>
        </w:tabs>
        <w:spacing w:line="360" w:lineRule="auto"/>
        <w:ind w:left="424" w:hanging="424"/>
        <w:jc w:val="both"/>
        <w:rPr>
          <w:rFonts w:ascii="宋体" w:hAnsi="宋体"/>
          <w:b/>
          <w:color w:val="auto"/>
          <w:szCs w:val="21"/>
          <w:highlight w:val="none"/>
        </w:rPr>
      </w:pPr>
      <w:r>
        <w:rPr>
          <w:rFonts w:hint="eastAsia" w:ascii="宋体" w:hAnsi="宋体"/>
          <w:b/>
          <w:color w:val="auto"/>
          <w:szCs w:val="21"/>
          <w:highlight w:val="none"/>
        </w:rPr>
        <w:t>在执行本合同的过程中，甲乙双方在双方同意的情况下可另行再签订保密协议或廉政协议作为合同附件，与本合同具有同样法律效力。</w:t>
      </w:r>
    </w:p>
    <w:p>
      <w:pPr>
        <w:widowControl w:val="0"/>
        <w:numPr>
          <w:ilvl w:val="1"/>
          <w:numId w:val="21"/>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在执行本合同的过程中，乙方需遵守所有经</w:t>
      </w:r>
      <w:r>
        <w:rPr>
          <w:rFonts w:hint="eastAsia" w:ascii="宋体"/>
          <w:color w:val="auto"/>
          <w:highlight w:val="none"/>
        </w:rPr>
        <w:t>甲乙</w:t>
      </w:r>
      <w:r>
        <w:rPr>
          <w:rFonts w:hint="eastAsia" w:ascii="宋体" w:hAnsi="宋体"/>
          <w:color w:val="auto"/>
          <w:szCs w:val="21"/>
          <w:highlight w:val="none"/>
        </w:rPr>
        <w:t>双方签署确认的文件（包括会议纪要、补充协议、往来信函）即成为本合同的有效组成部分，其生效日期为双方签字盖章或确认之日期。</w:t>
      </w:r>
    </w:p>
    <w:p>
      <w:pPr>
        <w:widowControl w:val="0"/>
        <w:numPr>
          <w:ilvl w:val="1"/>
          <w:numId w:val="21"/>
        </w:numPr>
        <w:tabs>
          <w:tab w:val="left" w:pos="424"/>
          <w:tab w:val="clear" w:pos="794"/>
        </w:tabs>
        <w:spacing w:line="360" w:lineRule="auto"/>
        <w:ind w:left="424" w:hanging="424"/>
        <w:jc w:val="both"/>
        <w:rPr>
          <w:rFonts w:ascii="宋体" w:hAnsi="宋体"/>
          <w:color w:val="auto"/>
          <w:highlight w:val="none"/>
        </w:rPr>
      </w:pPr>
      <w:r>
        <w:rPr>
          <w:rFonts w:hint="eastAsia" w:ascii="宋体" w:hAnsi="宋体"/>
          <w:color w:val="auto"/>
          <w:szCs w:val="21"/>
          <w:highlight w:val="none"/>
        </w:rPr>
        <w:t>除甲方事先书面同意外，乙方不得部分或全部转让其应履行的合同项下的义务，否则甲方有权单方面终止本合同，</w:t>
      </w:r>
      <w:r>
        <w:rPr>
          <w:rFonts w:hint="eastAsia" w:ascii="宋体" w:hAnsi="宋体"/>
          <w:color w:val="auto"/>
          <w:highlight w:val="none"/>
        </w:rPr>
        <w:t>乙方应自收到甲方《终止合同通知书》之日起15日内退还甲方已支付的全部款项，已发生的一切费用及损失均由乙方自行承担，且乙方应向甲方支付合同总价款10%的违约金，造成甲方损失的乙方还应赔偿甲方因此所遭受的全部损失</w:t>
      </w:r>
      <w:r>
        <w:rPr>
          <w:rFonts w:hint="eastAsia" w:ascii="宋体" w:hAnsi="宋体"/>
          <w:color w:val="auto"/>
          <w:szCs w:val="21"/>
          <w:highlight w:val="none"/>
        </w:rPr>
        <w:t>。</w:t>
      </w:r>
    </w:p>
    <w:p>
      <w:pPr>
        <w:widowControl w:val="0"/>
        <w:numPr>
          <w:ilvl w:val="1"/>
          <w:numId w:val="21"/>
        </w:numPr>
        <w:tabs>
          <w:tab w:val="left" w:pos="424"/>
          <w:tab w:val="clear" w:pos="794"/>
        </w:tabs>
        <w:spacing w:line="360" w:lineRule="auto"/>
        <w:ind w:left="424" w:hanging="424"/>
        <w:jc w:val="both"/>
        <w:rPr>
          <w:rFonts w:ascii="宋体" w:hAnsi="宋体"/>
          <w:b/>
          <w:bCs/>
          <w:color w:val="auto"/>
          <w:szCs w:val="21"/>
          <w:highlight w:val="none"/>
        </w:rPr>
      </w:pPr>
      <w:r>
        <w:rPr>
          <w:rFonts w:hint="eastAsia" w:ascii="宋体" w:hAnsi="宋体"/>
          <w:b/>
          <w:bCs/>
          <w:color w:val="auto"/>
          <w:szCs w:val="21"/>
          <w:highlight w:val="none"/>
        </w:rPr>
        <w:t>本合同正本一式</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份，甲乙双方各执</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份，</w:t>
      </w:r>
      <w:r>
        <w:rPr>
          <w:rFonts w:hint="eastAsia" w:ascii="宋体" w:hAnsi="宋体"/>
          <w:b/>
          <w:bCs/>
          <w:color w:val="auto"/>
          <w:szCs w:val="21"/>
          <w:highlight w:val="none"/>
          <w:lang w:eastAsia="zh-CN"/>
        </w:rPr>
        <w:t>中山市建业建筑工程监理有限公司</w:t>
      </w:r>
      <w:r>
        <w:rPr>
          <w:rFonts w:hint="eastAsia" w:ascii="宋体" w:hAnsi="宋体"/>
          <w:b/>
          <w:bCs/>
          <w:color w:val="auto"/>
          <w:szCs w:val="21"/>
          <w:highlight w:val="none"/>
        </w:rPr>
        <w:t>执一份，具有同等法律效力。</w:t>
      </w:r>
    </w:p>
    <w:p>
      <w:pPr>
        <w:widowControl w:val="0"/>
        <w:numPr>
          <w:ilvl w:val="1"/>
          <w:numId w:val="21"/>
        </w:numPr>
        <w:tabs>
          <w:tab w:val="left" w:pos="424"/>
          <w:tab w:val="clear" w:pos="794"/>
        </w:tabs>
        <w:spacing w:line="360" w:lineRule="auto"/>
        <w:ind w:left="424" w:hanging="424"/>
        <w:jc w:val="both"/>
        <w:rPr>
          <w:rFonts w:ascii="宋体" w:hAnsi="宋体"/>
          <w:color w:val="auto"/>
          <w:szCs w:val="21"/>
          <w:highlight w:val="none"/>
        </w:rPr>
      </w:pPr>
      <w:r>
        <w:rPr>
          <w:rFonts w:hint="eastAsia" w:ascii="宋体" w:hAnsi="宋体"/>
          <w:color w:val="auto"/>
          <w:szCs w:val="21"/>
          <w:highlight w:val="none"/>
        </w:rPr>
        <w:t>本合同合计</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页</w:t>
      </w:r>
      <w:r>
        <w:rPr>
          <w:rFonts w:ascii="宋体" w:hAnsi="宋体"/>
          <w:color w:val="auto"/>
          <w:szCs w:val="21"/>
          <w:highlight w:val="none"/>
        </w:rPr>
        <w:t>A4</w:t>
      </w:r>
      <w:r>
        <w:rPr>
          <w:rFonts w:hint="eastAsia" w:ascii="宋体" w:hAnsi="宋体"/>
          <w:color w:val="auto"/>
          <w:szCs w:val="21"/>
          <w:highlight w:val="none"/>
        </w:rPr>
        <w:t>纸张，缺页之合同为无效合同。</w:t>
      </w:r>
    </w:p>
    <w:p>
      <w:pPr>
        <w:spacing w:line="360" w:lineRule="auto"/>
        <w:rPr>
          <w:rFonts w:ascii="宋体" w:hAnsi="宋体"/>
          <w:color w:val="auto"/>
          <w:szCs w:val="21"/>
          <w:highlight w:val="none"/>
        </w:rPr>
      </w:pPr>
      <w:r>
        <w:rPr>
          <w:rFonts w:hint="eastAsia" w:ascii="宋体" w:hAnsi="宋体"/>
          <w:color w:val="auto"/>
          <w:szCs w:val="21"/>
          <w:highlight w:val="none"/>
        </w:rPr>
        <w:t>（以下无正文）</w:t>
      </w:r>
    </w:p>
    <w:p>
      <w:pPr>
        <w:spacing w:line="360" w:lineRule="auto"/>
        <w:rPr>
          <w:rFonts w:ascii="宋体" w:hAnsi="宋体"/>
          <w:color w:val="auto"/>
          <w:szCs w:val="21"/>
          <w:highlight w:val="none"/>
        </w:rPr>
      </w:pPr>
      <w:r>
        <w:rPr>
          <w:rFonts w:hint="eastAsia" w:ascii="宋体" w:hAnsi="宋体"/>
          <w:color w:val="auto"/>
          <w:szCs w:val="21"/>
          <w:highlight w:val="none"/>
        </w:rPr>
        <w:t>甲方（盖章）：                                  乙方（盖章）：</w:t>
      </w:r>
    </w:p>
    <w:p>
      <w:pPr>
        <w:spacing w:line="360" w:lineRule="auto"/>
        <w:rPr>
          <w:rFonts w:ascii="宋体" w:hAnsi="宋体"/>
          <w:color w:val="auto"/>
          <w:szCs w:val="21"/>
          <w:highlight w:val="none"/>
        </w:rPr>
      </w:pPr>
      <w:r>
        <w:rPr>
          <w:rFonts w:hint="eastAsia" w:ascii="宋体" w:hAnsi="宋体"/>
          <w:color w:val="auto"/>
          <w:szCs w:val="21"/>
          <w:highlight w:val="none"/>
        </w:rPr>
        <w:t>甲方代表人（签字）：</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乙方代表人（签字）：</w:t>
      </w:r>
    </w:p>
    <w:p>
      <w:pPr>
        <w:spacing w:line="360" w:lineRule="auto"/>
        <w:rPr>
          <w:rFonts w:ascii="宋体" w:hAnsi="宋体"/>
          <w:color w:val="auto"/>
          <w:szCs w:val="21"/>
          <w:highlight w:val="none"/>
        </w:rPr>
      </w:pPr>
      <w:r>
        <w:rPr>
          <w:rFonts w:hint="eastAsia" w:ascii="宋体" w:hAnsi="宋体"/>
          <w:color w:val="auto"/>
          <w:szCs w:val="21"/>
          <w:highlight w:val="none"/>
        </w:rPr>
        <w:t xml:space="preserve">地  </w:t>
      </w:r>
      <w:r>
        <w:rPr>
          <w:rFonts w:ascii="宋体" w:hAnsi="宋体"/>
          <w:color w:val="auto"/>
          <w:szCs w:val="21"/>
          <w:highlight w:val="none"/>
        </w:rPr>
        <w:t xml:space="preserve"> </w:t>
      </w:r>
      <w:r>
        <w:rPr>
          <w:rFonts w:hint="eastAsia" w:ascii="宋体" w:hAnsi="宋体"/>
          <w:color w:val="auto"/>
          <w:szCs w:val="21"/>
          <w:highlight w:val="none"/>
        </w:rPr>
        <w:t xml:space="preserve"> 址：                                     </w:t>
      </w:r>
      <w:r>
        <w:rPr>
          <w:rFonts w:ascii="宋体" w:hAnsi="宋体"/>
          <w:color w:val="auto"/>
          <w:szCs w:val="21"/>
          <w:highlight w:val="none"/>
        </w:rPr>
        <w:t xml:space="preserve"> </w:t>
      </w:r>
      <w:r>
        <w:rPr>
          <w:rFonts w:hint="eastAsia" w:ascii="宋体" w:hAnsi="宋体"/>
          <w:color w:val="auto"/>
          <w:szCs w:val="21"/>
          <w:highlight w:val="none"/>
        </w:rPr>
        <w:t xml:space="preserve">地   </w:t>
      </w:r>
      <w:r>
        <w:rPr>
          <w:rFonts w:ascii="宋体" w:hAnsi="宋体"/>
          <w:color w:val="auto"/>
          <w:szCs w:val="21"/>
          <w:highlight w:val="none"/>
        </w:rPr>
        <w:t xml:space="preserve"> </w:t>
      </w:r>
      <w:r>
        <w:rPr>
          <w:rFonts w:hint="eastAsia" w:ascii="宋体" w:hAnsi="宋体"/>
          <w:color w:val="auto"/>
          <w:szCs w:val="21"/>
          <w:highlight w:val="none"/>
        </w:rPr>
        <w:t>址：</w:t>
      </w:r>
    </w:p>
    <w:p>
      <w:pPr>
        <w:spacing w:line="360" w:lineRule="auto"/>
        <w:rPr>
          <w:rFonts w:ascii="宋体" w:hAnsi="宋体"/>
          <w:color w:val="auto"/>
          <w:szCs w:val="21"/>
          <w:highlight w:val="none"/>
        </w:rPr>
      </w:pPr>
      <w:r>
        <w:rPr>
          <w:rFonts w:hint="eastAsia" w:ascii="宋体" w:hAnsi="宋体"/>
          <w:color w:val="auto"/>
          <w:szCs w:val="21"/>
          <w:highlight w:val="none"/>
        </w:rPr>
        <w:t>邮政编码：                                      邮政编码：</w:t>
      </w:r>
    </w:p>
    <w:p>
      <w:pPr>
        <w:spacing w:line="360" w:lineRule="auto"/>
        <w:rPr>
          <w:rFonts w:ascii="宋体" w:hAnsi="宋体"/>
          <w:color w:val="auto"/>
          <w:szCs w:val="21"/>
          <w:highlight w:val="none"/>
        </w:rPr>
      </w:pPr>
      <w:r>
        <w:rPr>
          <w:rFonts w:hint="eastAsia" w:ascii="宋体" w:hAnsi="宋体"/>
          <w:color w:val="auto"/>
          <w:szCs w:val="21"/>
          <w:highlight w:val="none"/>
        </w:rPr>
        <w:t xml:space="preserve">电  </w:t>
      </w:r>
      <w:r>
        <w:rPr>
          <w:rFonts w:ascii="宋体" w:hAnsi="宋体"/>
          <w:color w:val="auto"/>
          <w:szCs w:val="21"/>
          <w:highlight w:val="none"/>
        </w:rPr>
        <w:t xml:space="preserve"> </w:t>
      </w:r>
      <w:r>
        <w:rPr>
          <w:rFonts w:hint="eastAsia" w:ascii="宋体" w:hAnsi="宋体"/>
          <w:color w:val="auto"/>
          <w:szCs w:val="21"/>
          <w:highlight w:val="none"/>
        </w:rPr>
        <w:t xml:space="preserve"> 话：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   话：</w:t>
      </w:r>
    </w:p>
    <w:p>
      <w:pPr>
        <w:spacing w:line="360" w:lineRule="auto"/>
        <w:rPr>
          <w:rFonts w:ascii="宋体" w:hAnsi="宋体"/>
          <w:color w:val="auto"/>
          <w:szCs w:val="21"/>
          <w:highlight w:val="none"/>
        </w:rPr>
      </w:pPr>
      <w:r>
        <w:rPr>
          <w:rFonts w:hint="eastAsia" w:ascii="宋体" w:hAnsi="宋体"/>
          <w:color w:val="auto"/>
          <w:szCs w:val="21"/>
          <w:highlight w:val="none"/>
        </w:rPr>
        <w:t xml:space="preserve">传  </w:t>
      </w:r>
      <w:r>
        <w:rPr>
          <w:rFonts w:ascii="宋体" w:hAnsi="宋体"/>
          <w:color w:val="auto"/>
          <w:szCs w:val="21"/>
          <w:highlight w:val="none"/>
        </w:rPr>
        <w:t xml:space="preserve"> </w:t>
      </w:r>
      <w:r>
        <w:rPr>
          <w:rFonts w:hint="eastAsia" w:ascii="宋体" w:hAnsi="宋体"/>
          <w:color w:val="auto"/>
          <w:szCs w:val="21"/>
          <w:highlight w:val="none"/>
        </w:rPr>
        <w:t xml:space="preserve"> 真：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传    真：</w:t>
      </w:r>
    </w:p>
    <w:p>
      <w:pPr>
        <w:spacing w:line="360" w:lineRule="auto"/>
        <w:rPr>
          <w:rFonts w:ascii="宋体" w:hAnsi="宋体"/>
          <w:color w:val="auto"/>
          <w:szCs w:val="21"/>
          <w:highlight w:val="none"/>
        </w:rPr>
      </w:pPr>
      <w:r>
        <w:rPr>
          <w:rFonts w:hint="eastAsia" w:ascii="宋体" w:hAnsi="宋体"/>
          <w:color w:val="auto"/>
          <w:szCs w:val="21"/>
          <w:highlight w:val="none"/>
        </w:rPr>
        <w:t>开户银行：                                      开户银行：</w:t>
      </w:r>
    </w:p>
    <w:p>
      <w:pPr>
        <w:spacing w:line="360" w:lineRule="auto"/>
        <w:rPr>
          <w:rFonts w:ascii="宋体" w:hAnsi="宋体"/>
          <w:color w:val="auto"/>
          <w:szCs w:val="21"/>
          <w:highlight w:val="none"/>
        </w:rPr>
      </w:pPr>
      <w:r>
        <w:rPr>
          <w:rFonts w:hint="eastAsia" w:ascii="宋体" w:hAnsi="宋体"/>
          <w:color w:val="auto"/>
          <w:szCs w:val="21"/>
          <w:highlight w:val="none"/>
        </w:rPr>
        <w:t>开户账号：                                      开户账号：</w:t>
      </w:r>
    </w:p>
    <w:p>
      <w:pPr>
        <w:spacing w:line="360" w:lineRule="auto"/>
        <w:rPr>
          <w:rFonts w:ascii="宋体" w:hAnsi="宋体"/>
          <w:color w:val="auto"/>
          <w:szCs w:val="21"/>
          <w:highlight w:val="none"/>
        </w:rPr>
      </w:pPr>
      <w:r>
        <w:rPr>
          <w:rFonts w:hint="eastAsia" w:ascii="宋体" w:hAnsi="宋体"/>
          <w:color w:val="auto"/>
          <w:szCs w:val="21"/>
          <w:highlight w:val="none"/>
        </w:rPr>
        <w:t>日    期：                                      日    期：</w:t>
      </w:r>
    </w:p>
    <w:p>
      <w:pPr>
        <w:spacing w:line="360" w:lineRule="auto"/>
        <w:rPr>
          <w:rFonts w:ascii="宋体" w:hAnsi="宋体"/>
          <w:color w:val="auto"/>
          <w:highlight w:val="none"/>
        </w:rPr>
      </w:pP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合同附件（合同编号      ）</w:t>
      </w:r>
    </w:p>
    <w:p>
      <w:pPr>
        <w:tabs>
          <w:tab w:val="left" w:pos="1680"/>
        </w:tabs>
        <w:spacing w:line="360" w:lineRule="auto"/>
        <w:rPr>
          <w:rFonts w:ascii="宋体"/>
          <w:color w:val="auto"/>
          <w:highlight w:val="none"/>
        </w:rPr>
      </w:pPr>
      <w:r>
        <w:rPr>
          <w:rFonts w:hint="eastAsia" w:ascii="宋体"/>
          <w:color w:val="auto"/>
          <w:highlight w:val="none"/>
        </w:rPr>
        <w:t>附件1  技术规格及供货范围………………………………………………………………………………</w:t>
      </w:r>
    </w:p>
    <w:p>
      <w:pPr>
        <w:spacing w:line="360" w:lineRule="auto"/>
        <w:ind w:left="945" w:hanging="945"/>
        <w:rPr>
          <w:rFonts w:ascii="宋体"/>
          <w:color w:val="auto"/>
          <w:highlight w:val="none"/>
        </w:rPr>
      </w:pPr>
      <w:r>
        <w:rPr>
          <w:rFonts w:hint="eastAsia" w:ascii="宋体"/>
          <w:color w:val="auto"/>
          <w:highlight w:val="none"/>
        </w:rPr>
        <w:t>附件2  价格明细清单 ………………………………………………………………………………………</w:t>
      </w:r>
    </w:p>
    <w:p>
      <w:pPr>
        <w:spacing w:line="360" w:lineRule="auto"/>
        <w:ind w:left="945" w:hanging="945"/>
        <w:rPr>
          <w:rFonts w:ascii="宋体"/>
          <w:color w:val="auto"/>
          <w:highlight w:val="none"/>
        </w:rPr>
      </w:pPr>
      <w:r>
        <w:rPr>
          <w:rFonts w:hint="eastAsia" w:ascii="宋体"/>
          <w:color w:val="auto"/>
          <w:highlight w:val="none"/>
        </w:rPr>
        <w:t>附件3  中标通知书…………………………………………………………………………………………</w:t>
      </w:r>
    </w:p>
    <w:p>
      <w:pPr>
        <w:spacing w:line="360" w:lineRule="auto"/>
        <w:rPr>
          <w:rFonts w:ascii="宋体" w:hAnsi="宋体" w:cs="宋体"/>
          <w:bCs/>
          <w:color w:val="auto"/>
          <w:szCs w:val="21"/>
          <w:highlight w:val="none"/>
        </w:rPr>
      </w:pPr>
    </w:p>
    <w:p>
      <w:pPr>
        <w:spacing w:line="360" w:lineRule="auto"/>
        <w:rPr>
          <w:rFonts w:ascii="宋体" w:hAnsi="宋体" w:cs="宋体"/>
          <w:bCs/>
          <w:color w:val="auto"/>
          <w:szCs w:val="21"/>
          <w:highlight w:val="none"/>
        </w:rPr>
      </w:pP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备注：</w:t>
      </w: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1.本合同附件均在签订合同时编制，依据是招标文件及中标人的投标文件的相应内容；</w:t>
      </w: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2.合同附件的具体条目及内容由双方在签订合同时商定。</w:t>
      </w:r>
    </w:p>
    <w:p>
      <w:pPr>
        <w:pStyle w:val="3"/>
        <w:rPr>
          <w:rFonts w:ascii="黑体" w:hAnsi="黑体" w:eastAsia="黑体" w:cs="宋体"/>
          <w:bCs/>
          <w:color w:val="auto"/>
          <w:kern w:val="2"/>
          <w:sz w:val="44"/>
          <w:szCs w:val="44"/>
          <w:highlight w:val="none"/>
          <w:lang w:val="zh-CN"/>
        </w:rPr>
      </w:pPr>
      <w:bookmarkStart w:id="52" w:name="_Toc489282800"/>
    </w:p>
    <w:p>
      <w:pPr>
        <w:pStyle w:val="3"/>
        <w:jc w:val="center"/>
        <w:rPr>
          <w:rFonts w:ascii="黑体" w:hAnsi="黑体" w:eastAsia="黑体" w:cs="宋体"/>
          <w:bCs/>
          <w:color w:val="auto"/>
          <w:kern w:val="2"/>
          <w:sz w:val="44"/>
          <w:szCs w:val="44"/>
          <w:highlight w:val="none"/>
          <w:lang w:val="zh-CN"/>
        </w:rPr>
      </w:pPr>
    </w:p>
    <w:p>
      <w:pPr>
        <w:pStyle w:val="3"/>
        <w:jc w:val="center"/>
        <w:rPr>
          <w:rFonts w:ascii="黑体" w:hAnsi="黑体" w:eastAsia="黑体" w:cs="宋体"/>
          <w:bCs/>
          <w:color w:val="auto"/>
          <w:kern w:val="2"/>
          <w:sz w:val="44"/>
          <w:szCs w:val="44"/>
          <w:highlight w:val="none"/>
          <w:lang w:val="zh-CN"/>
        </w:rPr>
      </w:pPr>
    </w:p>
    <w:p>
      <w:pPr>
        <w:pStyle w:val="3"/>
        <w:jc w:val="center"/>
        <w:rPr>
          <w:rFonts w:ascii="黑体" w:hAnsi="黑体" w:eastAsia="黑体" w:cs="宋体"/>
          <w:bCs/>
          <w:color w:val="auto"/>
          <w:kern w:val="2"/>
          <w:sz w:val="44"/>
          <w:szCs w:val="44"/>
          <w:highlight w:val="none"/>
          <w:lang w:val="zh-CN"/>
        </w:rPr>
      </w:pPr>
    </w:p>
    <w:p>
      <w:pPr>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2"/>
        <w:rPr>
          <w:rFonts w:ascii="黑体" w:hAnsi="黑体" w:eastAsia="黑体" w:cs="宋体"/>
          <w:bCs/>
          <w:color w:val="auto"/>
          <w:kern w:val="2"/>
          <w:sz w:val="44"/>
          <w:szCs w:val="44"/>
          <w:highlight w:val="none"/>
          <w:lang w:val="zh-CN"/>
        </w:rPr>
      </w:pPr>
    </w:p>
    <w:p>
      <w:pPr>
        <w:pStyle w:val="3"/>
        <w:jc w:val="center"/>
        <w:rPr>
          <w:rFonts w:ascii="黑体" w:hAnsi="黑体" w:eastAsia="黑体" w:cs="宋体"/>
          <w:bCs/>
          <w:color w:val="auto"/>
          <w:kern w:val="2"/>
          <w:sz w:val="44"/>
          <w:szCs w:val="44"/>
          <w:highlight w:val="none"/>
          <w:lang w:val="zh-CN"/>
        </w:rPr>
      </w:pPr>
    </w:p>
    <w:p>
      <w:pPr>
        <w:pStyle w:val="3"/>
        <w:jc w:val="center"/>
        <w:rPr>
          <w:rFonts w:ascii="黑体" w:hAnsi="黑体" w:eastAsia="黑体" w:cs="宋体"/>
          <w:bCs/>
          <w:color w:val="auto"/>
          <w:kern w:val="2"/>
          <w:sz w:val="44"/>
          <w:szCs w:val="44"/>
          <w:highlight w:val="none"/>
          <w:lang w:val="zh-CN"/>
        </w:rPr>
      </w:pPr>
      <w:r>
        <w:rPr>
          <w:rFonts w:hint="eastAsia" w:ascii="黑体" w:hAnsi="黑体" w:eastAsia="黑体" w:cs="宋体"/>
          <w:bCs/>
          <w:color w:val="auto"/>
          <w:kern w:val="2"/>
          <w:sz w:val="44"/>
          <w:szCs w:val="44"/>
          <w:highlight w:val="none"/>
          <w:lang w:val="zh-CN"/>
        </w:rPr>
        <w:t>第六部分投标文件格式</w:t>
      </w:r>
      <w:bookmarkEnd w:id="52"/>
    </w:p>
    <w:p>
      <w:pPr>
        <w:spacing w:line="360" w:lineRule="auto"/>
        <w:jc w:val="center"/>
        <w:rPr>
          <w:rFonts w:ascii="宋体" w:cs="宋体"/>
          <w:color w:val="auto"/>
          <w:sz w:val="24"/>
          <w:szCs w:val="21"/>
          <w:highlight w:val="none"/>
        </w:rPr>
      </w:pPr>
      <w:r>
        <w:rPr>
          <w:rFonts w:hint="eastAsia" w:ascii="宋体" w:hAnsi="宋体" w:cs="宋体"/>
          <w:color w:val="auto"/>
          <w:sz w:val="24"/>
          <w:szCs w:val="21"/>
          <w:highlight w:val="none"/>
        </w:rPr>
        <w:t>根据“节约能源、保护环境”要求，建议投标人双面打印投标文件。</w:t>
      </w: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pStyle w:val="4"/>
        <w:spacing w:before="120" w:after="120" w:line="440" w:lineRule="exact"/>
        <w:jc w:val="left"/>
        <w:rPr>
          <w:color w:val="auto"/>
          <w:highlight w:val="none"/>
        </w:rPr>
      </w:pPr>
      <w:bookmarkStart w:id="53" w:name="_Toc435514852"/>
      <w:bookmarkStart w:id="54" w:name="_Toc435515292"/>
      <w:bookmarkStart w:id="55" w:name="_Toc489282801"/>
      <w:r>
        <w:rPr>
          <w:rFonts w:hint="eastAsia"/>
          <w:color w:val="auto"/>
          <w:highlight w:val="none"/>
        </w:rPr>
        <w:t>投标文件包装（封套）封面参考</w:t>
      </w:r>
      <w:bookmarkEnd w:id="53"/>
      <w:bookmarkEnd w:id="54"/>
      <w:bookmarkEnd w:id="55"/>
    </w:p>
    <w:tbl>
      <w:tblPr>
        <w:tblStyle w:val="5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018" w:type="dxa"/>
          </w:tcPr>
          <w:p>
            <w:pPr>
              <w:pStyle w:val="2"/>
              <w:spacing w:line="360" w:lineRule="auto"/>
              <w:ind w:firstLine="482" w:firstLineChars="150"/>
              <w:rPr>
                <w:rFonts w:ascii="仿宋_GB2312" w:eastAsia="仿宋_GB2312"/>
                <w:b/>
                <w:color w:val="auto"/>
                <w:sz w:val="32"/>
                <w:highlight w:val="none"/>
              </w:rPr>
            </w:pPr>
          </w:p>
          <w:p>
            <w:pPr>
              <w:pStyle w:val="2"/>
              <w:spacing w:line="360" w:lineRule="auto"/>
              <w:ind w:firstLine="482" w:firstLineChars="150"/>
              <w:rPr>
                <w:rFonts w:ascii="仿宋_GB2312" w:eastAsia="仿宋_GB2312"/>
                <w:b/>
                <w:color w:val="auto"/>
                <w:sz w:val="32"/>
                <w:highlight w:val="none"/>
              </w:rPr>
            </w:pPr>
          </w:p>
          <w:p>
            <w:pPr>
              <w:pStyle w:val="2"/>
              <w:spacing w:line="360" w:lineRule="auto"/>
              <w:jc w:val="center"/>
              <w:rPr>
                <w:rFonts w:ascii="黑体" w:eastAsia="黑体"/>
                <w:b/>
                <w:color w:val="auto"/>
                <w:sz w:val="72"/>
                <w:szCs w:val="72"/>
                <w:highlight w:val="none"/>
              </w:rPr>
            </w:pPr>
          </w:p>
          <w:p>
            <w:pPr>
              <w:pStyle w:val="2"/>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投标文件</w:t>
            </w:r>
          </w:p>
          <w:p>
            <w:pPr>
              <w:pStyle w:val="2"/>
              <w:spacing w:line="360" w:lineRule="auto"/>
              <w:ind w:firstLine="3398" w:firstLineChars="651"/>
              <w:rPr>
                <w:rFonts w:ascii="黑体" w:eastAsia="黑体"/>
                <w:b/>
                <w:color w:val="auto"/>
                <w:sz w:val="52"/>
                <w:szCs w:val="52"/>
                <w:highlight w:val="none"/>
              </w:rPr>
            </w:pPr>
          </w:p>
          <w:p>
            <w:pPr>
              <w:pStyle w:val="2"/>
              <w:spacing w:line="360" w:lineRule="auto"/>
              <w:ind w:firstLine="3076" w:firstLineChars="851"/>
              <w:rPr>
                <w:rFonts w:ascii="黑体" w:eastAsia="黑体"/>
                <w:b/>
                <w:color w:val="auto"/>
                <w:sz w:val="36"/>
                <w:highlight w:val="none"/>
              </w:rPr>
            </w:pPr>
            <w:r>
              <w:rPr>
                <w:rFonts w:hint="eastAsia" w:ascii="宋体" w:hAnsi="宋体"/>
                <w:b/>
                <w:bCs/>
                <w:color w:val="auto"/>
                <w:sz w:val="36"/>
                <w:szCs w:val="24"/>
                <w:highlight w:val="none"/>
              </w:rPr>
              <w:t>□</w:t>
            </w:r>
            <w:r>
              <w:rPr>
                <w:rFonts w:hint="eastAsia" w:ascii="黑体" w:eastAsia="黑体"/>
                <w:b/>
                <w:color w:val="auto"/>
                <w:sz w:val="36"/>
                <w:highlight w:val="none"/>
              </w:rPr>
              <w:t>唱标信封</w:t>
            </w:r>
          </w:p>
          <w:p>
            <w:pPr>
              <w:pStyle w:val="2"/>
              <w:spacing w:line="360" w:lineRule="auto"/>
              <w:ind w:firstLine="3076" w:firstLineChars="851"/>
              <w:rPr>
                <w:rFonts w:ascii="黑体" w:eastAsia="黑体"/>
                <w:b/>
                <w:color w:val="auto"/>
                <w:sz w:val="36"/>
                <w:highlight w:val="none"/>
              </w:rPr>
            </w:pPr>
            <w:r>
              <w:rPr>
                <w:rFonts w:hint="eastAsia" w:ascii="宋体" w:hAnsi="宋体"/>
                <w:b/>
                <w:bCs/>
                <w:color w:val="auto"/>
                <w:sz w:val="36"/>
                <w:szCs w:val="24"/>
                <w:highlight w:val="none"/>
              </w:rPr>
              <w:t>□</w:t>
            </w:r>
            <w:r>
              <w:rPr>
                <w:rFonts w:hint="eastAsia" w:ascii="黑体" w:eastAsia="黑体"/>
                <w:b/>
                <w:color w:val="auto"/>
                <w:sz w:val="36"/>
                <w:highlight w:val="none"/>
              </w:rPr>
              <w:t>正本</w:t>
            </w:r>
          </w:p>
          <w:p>
            <w:pPr>
              <w:pStyle w:val="2"/>
              <w:spacing w:line="360" w:lineRule="auto"/>
              <w:ind w:firstLine="3076" w:firstLineChars="851"/>
              <w:rPr>
                <w:rFonts w:ascii="黑体" w:eastAsia="黑体"/>
                <w:b/>
                <w:color w:val="auto"/>
                <w:sz w:val="36"/>
                <w:highlight w:val="none"/>
              </w:rPr>
            </w:pPr>
            <w:r>
              <w:rPr>
                <w:rFonts w:hint="eastAsia" w:ascii="宋体" w:hAnsi="宋体"/>
                <w:b/>
                <w:bCs/>
                <w:color w:val="auto"/>
                <w:sz w:val="36"/>
                <w:szCs w:val="24"/>
                <w:highlight w:val="none"/>
              </w:rPr>
              <w:t>□</w:t>
            </w:r>
            <w:r>
              <w:rPr>
                <w:rFonts w:hint="eastAsia" w:ascii="黑体" w:eastAsia="黑体"/>
                <w:b/>
                <w:color w:val="auto"/>
                <w:sz w:val="36"/>
                <w:highlight w:val="none"/>
              </w:rPr>
              <w:t>副本</w:t>
            </w:r>
          </w:p>
          <w:p>
            <w:pPr>
              <w:pStyle w:val="2"/>
              <w:spacing w:line="360" w:lineRule="auto"/>
              <w:rPr>
                <w:rFonts w:ascii="仿宋_GB2312" w:eastAsia="仿宋_GB2312"/>
                <w:b/>
                <w:color w:val="auto"/>
                <w:sz w:val="32"/>
                <w:highlight w:val="none"/>
              </w:rPr>
            </w:pPr>
          </w:p>
          <w:p>
            <w:pPr>
              <w:pStyle w:val="2"/>
              <w:spacing w:line="560" w:lineRule="exact"/>
              <w:ind w:firstLine="551" w:firstLineChars="196"/>
              <w:jc w:val="left"/>
              <w:rPr>
                <w:rFonts w:hint="eastAsia" w:ascii="宋体" w:eastAsia="宋体"/>
                <w:b/>
                <w:color w:val="auto"/>
                <w:highlight w:val="none"/>
                <w:lang w:eastAsia="zh-CN"/>
              </w:rPr>
            </w:pPr>
            <w:r>
              <w:rPr>
                <w:rFonts w:hint="eastAsia" w:ascii="宋体" w:hAnsi="宋体"/>
                <w:b/>
                <w:color w:val="auto"/>
                <w:highlight w:val="none"/>
              </w:rPr>
              <w:t>递交：</w:t>
            </w:r>
            <w:r>
              <w:rPr>
                <w:rFonts w:hint="eastAsia" w:ascii="宋体" w:hAnsi="宋体"/>
                <w:b/>
                <w:color w:val="auto"/>
                <w:highlight w:val="none"/>
                <w:lang w:eastAsia="zh-CN"/>
              </w:rPr>
              <w:t>中山市建业建筑工程监理有限公司</w:t>
            </w:r>
          </w:p>
          <w:p>
            <w:pPr>
              <w:pStyle w:val="27"/>
              <w:tabs>
                <w:tab w:val="left" w:pos="7740"/>
              </w:tabs>
              <w:spacing w:line="360" w:lineRule="auto"/>
              <w:ind w:firstLine="562" w:firstLineChars="200"/>
              <w:rPr>
                <w:rFonts w:hint="eastAsia" w:eastAsia="宋体"/>
                <w:b/>
                <w:color w:val="auto"/>
                <w:kern w:val="2"/>
                <w:sz w:val="28"/>
                <w:szCs w:val="28"/>
                <w:highlight w:val="none"/>
                <w:lang w:eastAsia="zh-CN"/>
              </w:rPr>
            </w:pPr>
            <w:r>
              <w:rPr>
                <w:rFonts w:hint="eastAsia" w:hAnsi="宋体"/>
                <w:b/>
                <w:color w:val="auto"/>
                <w:kern w:val="2"/>
                <w:sz w:val="28"/>
                <w:szCs w:val="28"/>
                <w:highlight w:val="none"/>
              </w:rPr>
              <w:t>采购项目编号：</w:t>
            </w:r>
            <w:r>
              <w:rPr>
                <w:rFonts w:hint="eastAsia"/>
                <w:b/>
                <w:color w:val="auto"/>
                <w:kern w:val="2"/>
                <w:sz w:val="28"/>
                <w:szCs w:val="28"/>
                <w:highlight w:val="none"/>
                <w:lang w:eastAsia="zh-CN"/>
              </w:rPr>
              <w:t>ZSJYJZ012</w:t>
            </w:r>
          </w:p>
          <w:p>
            <w:pPr>
              <w:pStyle w:val="2"/>
              <w:spacing w:line="560" w:lineRule="exact"/>
              <w:ind w:firstLine="551" w:firstLineChars="196"/>
              <w:jc w:val="left"/>
              <w:rPr>
                <w:rFonts w:hint="eastAsia" w:ascii="宋体" w:eastAsia="宋体"/>
                <w:b/>
                <w:color w:val="auto"/>
                <w:highlight w:val="none"/>
                <w:lang w:eastAsia="zh-CN"/>
              </w:rPr>
            </w:pPr>
            <w:r>
              <w:rPr>
                <w:rFonts w:hint="eastAsia" w:ascii="宋体" w:hAnsi="宋体"/>
                <w:b/>
                <w:color w:val="auto"/>
                <w:highlight w:val="none"/>
              </w:rPr>
              <w:t>采购项目名称：</w:t>
            </w:r>
            <w:r>
              <w:rPr>
                <w:rFonts w:hint="eastAsia" w:ascii="宋体" w:hAnsi="宋体"/>
                <w:b/>
                <w:color w:val="auto"/>
                <w:highlight w:val="none"/>
                <w:lang w:eastAsia="zh-CN"/>
              </w:rPr>
              <w:t>中山市坦洲镇政府大院发电机购置安装项目</w:t>
            </w:r>
          </w:p>
          <w:p>
            <w:pPr>
              <w:pStyle w:val="2"/>
              <w:spacing w:line="560" w:lineRule="exact"/>
              <w:ind w:firstLine="551" w:firstLineChars="196"/>
              <w:jc w:val="left"/>
              <w:rPr>
                <w:rFonts w:ascii="宋体"/>
                <w:b/>
                <w:color w:val="auto"/>
                <w:highlight w:val="none"/>
              </w:rPr>
            </w:pPr>
            <w:r>
              <w:rPr>
                <w:rFonts w:hint="eastAsia" w:ascii="宋体" w:hAnsi="宋体"/>
                <w:b/>
                <w:color w:val="auto"/>
                <w:highlight w:val="none"/>
              </w:rPr>
              <w:t>在</w:t>
            </w:r>
            <w:r>
              <w:rPr>
                <w:rFonts w:ascii="宋体" w:hAnsi="宋体"/>
                <w:b/>
                <w:color w:val="auto"/>
                <w:highlight w:val="none"/>
              </w:rPr>
              <w:t xml:space="preserve">(    </w:t>
            </w:r>
            <w:r>
              <w:rPr>
                <w:rFonts w:hint="eastAsia" w:ascii="宋体" w:hAnsi="宋体"/>
                <w:b/>
                <w:color w:val="auto"/>
                <w:highlight w:val="none"/>
              </w:rPr>
              <w:t>年月日时分</w:t>
            </w:r>
            <w:r>
              <w:rPr>
                <w:rFonts w:ascii="宋体" w:hAnsi="宋体"/>
                <w:b/>
                <w:color w:val="auto"/>
                <w:highlight w:val="none"/>
              </w:rPr>
              <w:t>)</w:t>
            </w:r>
            <w:r>
              <w:rPr>
                <w:rFonts w:hint="eastAsia" w:ascii="宋体" w:hAnsi="宋体"/>
                <w:b/>
                <w:color w:val="auto"/>
                <w:highlight w:val="none"/>
              </w:rPr>
              <w:t>之前不得启封</w:t>
            </w:r>
          </w:p>
          <w:p>
            <w:pPr>
              <w:pStyle w:val="2"/>
              <w:spacing w:line="560" w:lineRule="exact"/>
              <w:ind w:firstLine="551" w:firstLineChars="196"/>
              <w:jc w:val="left"/>
              <w:rPr>
                <w:rFonts w:ascii="宋体"/>
                <w:b/>
                <w:color w:val="auto"/>
                <w:highlight w:val="none"/>
              </w:rPr>
            </w:pPr>
          </w:p>
          <w:p>
            <w:pPr>
              <w:pStyle w:val="2"/>
              <w:spacing w:line="560" w:lineRule="exact"/>
              <w:ind w:firstLine="551" w:firstLineChars="196"/>
              <w:rPr>
                <w:rFonts w:ascii="宋体"/>
                <w:b/>
                <w:color w:val="auto"/>
                <w:highlight w:val="none"/>
              </w:rPr>
            </w:pPr>
            <w:r>
              <w:rPr>
                <w:rFonts w:hint="eastAsia" w:ascii="宋体" w:hAnsi="宋体"/>
                <w:b/>
                <w:color w:val="auto"/>
                <w:highlight w:val="none"/>
              </w:rPr>
              <w:t>投标人名称</w:t>
            </w:r>
            <w:r>
              <w:rPr>
                <w:rFonts w:ascii="宋体" w:hAnsi="宋体"/>
                <w:b/>
                <w:color w:val="auto"/>
                <w:highlight w:val="none"/>
              </w:rPr>
              <w:t>(</w:t>
            </w:r>
            <w:r>
              <w:rPr>
                <w:rFonts w:hint="eastAsia" w:ascii="宋体" w:hAnsi="宋体"/>
                <w:b/>
                <w:color w:val="auto"/>
                <w:highlight w:val="none"/>
              </w:rPr>
              <w:t>公章</w:t>
            </w:r>
            <w:r>
              <w:rPr>
                <w:rFonts w:ascii="宋体" w:hAnsi="宋体"/>
                <w:b/>
                <w:color w:val="auto"/>
                <w:highlight w:val="none"/>
              </w:rPr>
              <w:t>)</w:t>
            </w:r>
            <w:r>
              <w:rPr>
                <w:rFonts w:hint="eastAsia" w:ascii="宋体" w:hAnsi="宋体"/>
                <w:b/>
                <w:color w:val="auto"/>
                <w:highlight w:val="none"/>
              </w:rPr>
              <w:t>：</w:t>
            </w:r>
          </w:p>
          <w:p>
            <w:pPr>
              <w:pStyle w:val="2"/>
              <w:spacing w:line="560" w:lineRule="exact"/>
              <w:ind w:firstLine="551" w:firstLineChars="196"/>
              <w:rPr>
                <w:rFonts w:ascii="宋体"/>
                <w:b/>
                <w:color w:val="auto"/>
                <w:highlight w:val="none"/>
              </w:rPr>
            </w:pPr>
            <w:r>
              <w:rPr>
                <w:rFonts w:hint="eastAsia" w:ascii="宋体" w:hAnsi="宋体"/>
                <w:b/>
                <w:color w:val="auto"/>
                <w:highlight w:val="none"/>
              </w:rPr>
              <w:t>投标人地址：</w:t>
            </w:r>
          </w:p>
          <w:p>
            <w:pPr>
              <w:tabs>
                <w:tab w:val="left" w:pos="851"/>
              </w:tabs>
              <w:autoSpaceDE w:val="0"/>
              <w:autoSpaceDN w:val="0"/>
              <w:adjustRightInd w:val="0"/>
              <w:snapToGrid w:val="0"/>
              <w:spacing w:line="420" w:lineRule="auto"/>
              <w:rPr>
                <w:rFonts w:ascii="仿宋_GB2312" w:eastAsia="仿宋_GB2312"/>
                <w:b/>
                <w:color w:val="auto"/>
                <w:sz w:val="32"/>
                <w:highlight w:val="none"/>
              </w:rPr>
            </w:pPr>
          </w:p>
        </w:tc>
      </w:tr>
    </w:tbl>
    <w:p>
      <w:pPr>
        <w:spacing w:line="360" w:lineRule="auto"/>
        <w:jc w:val="center"/>
        <w:rPr>
          <w:rFonts w:ascii="宋体" w:cs="宋体"/>
          <w:color w:val="auto"/>
          <w:szCs w:val="21"/>
          <w:highlight w:val="none"/>
        </w:rPr>
      </w:pPr>
    </w:p>
    <w:p>
      <w:pPr>
        <w:pStyle w:val="4"/>
        <w:spacing w:before="120" w:after="120" w:line="440" w:lineRule="exact"/>
        <w:jc w:val="left"/>
        <w:rPr>
          <w:color w:val="auto"/>
          <w:highlight w:val="none"/>
        </w:rPr>
      </w:pPr>
      <w:r>
        <w:rPr>
          <w:rFonts w:hAnsi="宋体" w:cs="宋体"/>
          <w:b w:val="0"/>
          <w:color w:val="auto"/>
          <w:szCs w:val="21"/>
          <w:highlight w:val="none"/>
        </w:rPr>
        <w:br w:type="page"/>
      </w:r>
      <w:bookmarkStart w:id="56" w:name="_Toc489282802"/>
      <w:r>
        <w:rPr>
          <w:rFonts w:hint="eastAsia"/>
          <w:color w:val="auto"/>
          <w:highlight w:val="none"/>
        </w:rPr>
        <w:t>投标文件封面参考：</w:t>
      </w:r>
      <w:bookmarkEnd w:id="56"/>
    </w:p>
    <w:p>
      <w:pPr>
        <w:pStyle w:val="27"/>
        <w:tabs>
          <w:tab w:val="left" w:pos="1260"/>
        </w:tabs>
        <w:spacing w:line="360" w:lineRule="auto"/>
        <w:jc w:val="center"/>
        <w:rPr>
          <w:rFonts w:hAnsi="宋体" w:cs="宋体"/>
          <w:b/>
          <w:color w:val="auto"/>
          <w:spacing w:val="100"/>
          <w:w w:val="110"/>
          <w:szCs w:val="21"/>
          <w:highlight w:val="none"/>
          <w:u w:val="single"/>
        </w:rPr>
      </w:pPr>
    </w:p>
    <w:p>
      <w:pPr>
        <w:pStyle w:val="27"/>
        <w:spacing w:line="360" w:lineRule="auto"/>
        <w:jc w:val="center"/>
        <w:rPr>
          <w:rFonts w:hAnsi="宋体"/>
          <w:b/>
          <w:color w:val="auto"/>
          <w:sz w:val="72"/>
          <w:szCs w:val="72"/>
          <w:highlight w:val="none"/>
        </w:rPr>
      </w:pPr>
    </w:p>
    <w:p>
      <w:pPr>
        <w:pStyle w:val="27"/>
        <w:spacing w:line="360" w:lineRule="auto"/>
        <w:jc w:val="center"/>
        <w:rPr>
          <w:rFonts w:hAnsi="宋体"/>
          <w:b/>
          <w:color w:val="auto"/>
          <w:sz w:val="72"/>
          <w:szCs w:val="72"/>
          <w:highlight w:val="none"/>
        </w:rPr>
      </w:pPr>
    </w:p>
    <w:p>
      <w:pPr>
        <w:pStyle w:val="27"/>
        <w:tabs>
          <w:tab w:val="left" w:pos="1260"/>
        </w:tabs>
        <w:spacing w:line="360" w:lineRule="auto"/>
        <w:jc w:val="center"/>
        <w:rPr>
          <w:rFonts w:hAnsi="宋体"/>
          <w:b/>
          <w:color w:val="auto"/>
          <w:sz w:val="72"/>
          <w:szCs w:val="72"/>
          <w:highlight w:val="none"/>
        </w:rPr>
      </w:pPr>
      <w:r>
        <w:rPr>
          <w:rFonts w:hint="eastAsia" w:hAnsi="宋体"/>
          <w:b/>
          <w:color w:val="auto"/>
          <w:sz w:val="72"/>
          <w:szCs w:val="72"/>
          <w:highlight w:val="none"/>
        </w:rPr>
        <w:t>投标文件</w:t>
      </w:r>
    </w:p>
    <w:p>
      <w:pPr>
        <w:widowControl w:val="0"/>
        <w:spacing w:after="120" w:line="360" w:lineRule="auto"/>
        <w:jc w:val="center"/>
        <w:rPr>
          <w:rFonts w:ascii="宋体"/>
          <w:b/>
          <w:bCs/>
          <w:color w:val="auto"/>
          <w:kern w:val="2"/>
          <w:sz w:val="32"/>
          <w:szCs w:val="24"/>
          <w:highlight w:val="none"/>
        </w:rPr>
      </w:pPr>
    </w:p>
    <w:p>
      <w:pPr>
        <w:pStyle w:val="27"/>
        <w:tabs>
          <w:tab w:val="left" w:pos="1260"/>
        </w:tabs>
        <w:spacing w:line="360" w:lineRule="auto"/>
        <w:jc w:val="center"/>
        <w:rPr>
          <w:rFonts w:hAnsi="宋体"/>
          <w:b/>
          <w:color w:val="auto"/>
          <w:sz w:val="44"/>
          <w:szCs w:val="72"/>
          <w:highlight w:val="none"/>
        </w:rPr>
      </w:pPr>
      <w:r>
        <w:rPr>
          <w:rFonts w:hint="eastAsia" w:hAnsi="宋体"/>
          <w:b/>
          <w:color w:val="auto"/>
          <w:sz w:val="44"/>
          <w:szCs w:val="72"/>
          <w:highlight w:val="none"/>
        </w:rPr>
        <w:t>□正本□副本</w:t>
      </w:r>
    </w:p>
    <w:p>
      <w:pPr>
        <w:pStyle w:val="27"/>
        <w:spacing w:line="360" w:lineRule="auto"/>
        <w:jc w:val="center"/>
        <w:rPr>
          <w:rFonts w:hAnsi="宋体" w:cs="宋体"/>
          <w:b/>
          <w:color w:val="auto"/>
          <w:sz w:val="44"/>
          <w:szCs w:val="44"/>
          <w:highlight w:val="none"/>
        </w:rPr>
      </w:pPr>
    </w:p>
    <w:p>
      <w:pPr>
        <w:pStyle w:val="27"/>
        <w:spacing w:line="360" w:lineRule="auto"/>
        <w:jc w:val="center"/>
        <w:rPr>
          <w:rFonts w:hAnsi="宋体" w:cs="宋体"/>
          <w:b/>
          <w:color w:val="auto"/>
          <w:sz w:val="44"/>
          <w:szCs w:val="44"/>
          <w:highlight w:val="none"/>
        </w:rPr>
      </w:pPr>
    </w:p>
    <w:p>
      <w:pPr>
        <w:pStyle w:val="27"/>
        <w:tabs>
          <w:tab w:val="left" w:pos="7740"/>
        </w:tabs>
        <w:spacing w:line="360" w:lineRule="auto"/>
        <w:rPr>
          <w:rFonts w:hint="eastAsia" w:hAnsi="宋体" w:eastAsia="宋体" w:cs="宋体"/>
          <w:b/>
          <w:color w:val="auto"/>
          <w:sz w:val="32"/>
          <w:szCs w:val="32"/>
          <w:highlight w:val="none"/>
          <w:lang w:eastAsia="zh-CN"/>
        </w:rPr>
      </w:pPr>
      <w:r>
        <w:rPr>
          <w:rFonts w:hint="eastAsia" w:hAnsi="宋体"/>
          <w:b/>
          <w:color w:val="auto"/>
          <w:sz w:val="28"/>
          <w:szCs w:val="28"/>
          <w:highlight w:val="none"/>
        </w:rPr>
        <w:t>采购项目编号：</w:t>
      </w:r>
      <w:r>
        <w:rPr>
          <w:rFonts w:hint="eastAsia"/>
          <w:b/>
          <w:color w:val="auto"/>
          <w:sz w:val="28"/>
          <w:szCs w:val="28"/>
          <w:highlight w:val="none"/>
          <w:lang w:eastAsia="zh-CN"/>
        </w:rPr>
        <w:t>ZSJYJZ012</w:t>
      </w:r>
    </w:p>
    <w:p>
      <w:pPr>
        <w:pStyle w:val="27"/>
        <w:spacing w:line="360" w:lineRule="auto"/>
        <w:ind w:left="2249" w:hanging="2249" w:hangingChars="700"/>
        <w:rPr>
          <w:rFonts w:hint="eastAsia" w:hAnsi="宋体" w:eastAsia="宋体" w:cs="宋体"/>
          <w:b/>
          <w:color w:val="auto"/>
          <w:sz w:val="44"/>
          <w:szCs w:val="44"/>
          <w:highlight w:val="none"/>
          <w:lang w:eastAsia="zh-CN"/>
        </w:rPr>
      </w:pPr>
      <w:r>
        <w:rPr>
          <w:rFonts w:hint="eastAsia" w:hAnsi="宋体" w:cs="宋体"/>
          <w:b/>
          <w:color w:val="auto"/>
          <w:sz w:val="32"/>
          <w:szCs w:val="32"/>
          <w:highlight w:val="none"/>
        </w:rPr>
        <w:t>采购项目名称：</w:t>
      </w:r>
      <w:r>
        <w:rPr>
          <w:rFonts w:hint="eastAsia" w:hAnsi="宋体" w:cs="宋体"/>
          <w:b/>
          <w:color w:val="auto"/>
          <w:sz w:val="32"/>
          <w:szCs w:val="32"/>
          <w:highlight w:val="none"/>
          <w:lang w:eastAsia="zh-CN"/>
        </w:rPr>
        <w:t>中山市坦洲镇政府大院发电机购置安装项目</w:t>
      </w:r>
    </w:p>
    <w:p>
      <w:pPr>
        <w:pStyle w:val="27"/>
        <w:spacing w:line="360" w:lineRule="auto"/>
        <w:ind w:firstLine="602" w:firstLineChars="300"/>
        <w:rPr>
          <w:rFonts w:hAnsi="宋体" w:cs="宋体"/>
          <w:b/>
          <w:color w:val="auto"/>
          <w:szCs w:val="21"/>
          <w:highlight w:val="none"/>
        </w:rPr>
      </w:pPr>
    </w:p>
    <w:p>
      <w:pPr>
        <w:pStyle w:val="27"/>
        <w:spacing w:line="360" w:lineRule="auto"/>
        <w:ind w:firstLine="602" w:firstLineChars="300"/>
        <w:rPr>
          <w:rFonts w:hAnsi="宋体" w:cs="宋体"/>
          <w:b/>
          <w:color w:val="auto"/>
          <w:szCs w:val="21"/>
          <w:highlight w:val="none"/>
        </w:rPr>
      </w:pPr>
    </w:p>
    <w:p>
      <w:pPr>
        <w:pStyle w:val="27"/>
        <w:spacing w:line="360" w:lineRule="auto"/>
        <w:ind w:firstLine="602" w:firstLineChars="300"/>
        <w:rPr>
          <w:rFonts w:hAnsi="宋体" w:cs="宋体"/>
          <w:b/>
          <w:color w:val="auto"/>
          <w:szCs w:val="21"/>
          <w:highlight w:val="none"/>
        </w:rPr>
      </w:pPr>
    </w:p>
    <w:p>
      <w:pPr>
        <w:pStyle w:val="27"/>
        <w:spacing w:line="360" w:lineRule="auto"/>
        <w:ind w:firstLine="602" w:firstLineChars="300"/>
        <w:rPr>
          <w:rFonts w:hAnsi="宋体" w:cs="宋体"/>
          <w:b/>
          <w:color w:val="auto"/>
          <w:szCs w:val="21"/>
          <w:highlight w:val="none"/>
        </w:rPr>
      </w:pPr>
    </w:p>
    <w:p>
      <w:pPr>
        <w:pStyle w:val="27"/>
        <w:spacing w:line="360" w:lineRule="auto"/>
        <w:ind w:firstLine="602" w:firstLineChars="300"/>
        <w:rPr>
          <w:rFonts w:hAnsi="宋体" w:cs="宋体"/>
          <w:b/>
          <w:color w:val="auto"/>
          <w:szCs w:val="21"/>
          <w:highlight w:val="none"/>
        </w:rPr>
      </w:pPr>
    </w:p>
    <w:p>
      <w:pPr>
        <w:pStyle w:val="27"/>
        <w:spacing w:line="360" w:lineRule="auto"/>
        <w:ind w:firstLine="602" w:firstLineChars="300"/>
        <w:rPr>
          <w:rFonts w:hAnsi="宋体" w:cs="宋体"/>
          <w:b/>
          <w:color w:val="auto"/>
          <w:szCs w:val="21"/>
          <w:highlight w:val="none"/>
        </w:rPr>
      </w:pPr>
    </w:p>
    <w:p>
      <w:pPr>
        <w:pStyle w:val="27"/>
        <w:spacing w:line="360" w:lineRule="auto"/>
        <w:ind w:firstLine="1619" w:firstLineChars="504"/>
        <w:rPr>
          <w:rFonts w:hAnsi="宋体" w:cs="宋体"/>
          <w:b/>
          <w:color w:val="auto"/>
          <w:sz w:val="32"/>
          <w:szCs w:val="32"/>
          <w:highlight w:val="none"/>
          <w:u w:val="single"/>
        </w:rPr>
      </w:pPr>
      <w:r>
        <w:rPr>
          <w:rFonts w:hint="eastAsia" w:hAnsi="宋体" w:cs="宋体"/>
          <w:b/>
          <w:color w:val="auto"/>
          <w:sz w:val="32"/>
          <w:szCs w:val="32"/>
          <w:highlight w:val="none"/>
        </w:rPr>
        <w:t>投标人名称：</w:t>
      </w:r>
      <w:r>
        <w:rPr>
          <w:rFonts w:hAnsi="宋体" w:cs="宋体"/>
          <w:b/>
          <w:color w:val="auto"/>
          <w:sz w:val="32"/>
          <w:szCs w:val="32"/>
          <w:highlight w:val="none"/>
          <w:u w:val="single"/>
        </w:rPr>
        <w:t xml:space="preserve">                    (</w:t>
      </w:r>
      <w:r>
        <w:rPr>
          <w:rFonts w:hint="eastAsia" w:hAnsi="宋体" w:cs="宋体"/>
          <w:b/>
          <w:color w:val="auto"/>
          <w:sz w:val="32"/>
          <w:szCs w:val="32"/>
          <w:highlight w:val="none"/>
          <w:u w:val="single"/>
        </w:rPr>
        <w:t>公章</w:t>
      </w:r>
      <w:r>
        <w:rPr>
          <w:rFonts w:hAnsi="宋体" w:cs="宋体"/>
          <w:b/>
          <w:color w:val="auto"/>
          <w:sz w:val="32"/>
          <w:szCs w:val="32"/>
          <w:highlight w:val="none"/>
          <w:u w:val="single"/>
        </w:rPr>
        <w:t>)</w:t>
      </w:r>
    </w:p>
    <w:p>
      <w:pPr>
        <w:autoSpaceDE w:val="0"/>
        <w:autoSpaceDN w:val="0"/>
        <w:spacing w:line="360" w:lineRule="auto"/>
        <w:ind w:firstLine="1619" w:firstLineChars="504"/>
        <w:rPr>
          <w:rFonts w:ascii="宋体" w:cs="宋体"/>
          <w:color w:val="auto"/>
          <w:szCs w:val="21"/>
          <w:highlight w:val="none"/>
        </w:rPr>
      </w:pPr>
      <w:r>
        <w:rPr>
          <w:rFonts w:hint="eastAsia" w:ascii="宋体" w:hAnsi="宋体" w:cs="宋体"/>
          <w:b/>
          <w:color w:val="auto"/>
          <w:sz w:val="32"/>
          <w:szCs w:val="32"/>
          <w:highlight w:val="none"/>
        </w:rPr>
        <w:t>日期：</w:t>
      </w:r>
      <w:r>
        <w:rPr>
          <w:rFonts w:ascii="宋体" w:hAnsi="宋体" w:cs="宋体"/>
          <w:b/>
          <w:color w:val="auto"/>
          <w:sz w:val="32"/>
          <w:szCs w:val="32"/>
          <w:highlight w:val="none"/>
          <w:u w:val="single"/>
        </w:rPr>
        <w:t xml:space="preserve">    20        </w:t>
      </w:r>
      <w:r>
        <w:rPr>
          <w:rFonts w:hint="eastAsia" w:ascii="宋体" w:hAnsi="宋体" w:cs="宋体"/>
          <w:b/>
          <w:color w:val="auto"/>
          <w:sz w:val="32"/>
          <w:szCs w:val="32"/>
          <w:highlight w:val="none"/>
        </w:rPr>
        <w:t>年月</w:t>
      </w:r>
    </w:p>
    <w:p>
      <w:pPr>
        <w:pStyle w:val="4"/>
        <w:spacing w:before="120" w:after="120" w:line="360" w:lineRule="auto"/>
        <w:jc w:val="left"/>
        <w:rPr>
          <w:rFonts w:hAnsi="宋体" w:cs="宋体"/>
          <w:color w:val="auto"/>
          <w:szCs w:val="24"/>
          <w:highlight w:val="none"/>
        </w:rPr>
      </w:pPr>
      <w:bookmarkStart w:id="57" w:name="_Toc489282810"/>
      <w:r>
        <w:rPr>
          <w:rFonts w:hint="eastAsia" w:hAnsi="宋体" w:cs="宋体"/>
          <w:color w:val="auto"/>
          <w:highlight w:val="none"/>
        </w:rPr>
        <w:t>一、价格部分</w:t>
      </w:r>
      <w:bookmarkEnd w:id="57"/>
    </w:p>
    <w:p>
      <w:pPr>
        <w:pStyle w:val="7"/>
        <w:keepNext/>
        <w:keepLines/>
        <w:tabs>
          <w:tab w:val="left" w:pos="420"/>
        </w:tabs>
        <w:autoSpaceDE/>
        <w:adjustRightInd/>
        <w:snapToGrid/>
        <w:spacing w:after="120" w:afterLines="50"/>
        <w:jc w:val="center"/>
        <w:rPr>
          <w:rFonts w:hAnsi="宋体" w:cs="宋体"/>
          <w:b/>
          <w:color w:val="auto"/>
          <w:sz w:val="28"/>
          <w:szCs w:val="24"/>
          <w:highlight w:val="none"/>
        </w:rPr>
      </w:pPr>
      <w:r>
        <w:rPr>
          <w:rFonts w:hAnsi="宋体" w:cs="宋体"/>
          <w:b/>
          <w:color w:val="auto"/>
          <w:sz w:val="28"/>
          <w:szCs w:val="24"/>
          <w:highlight w:val="none"/>
        </w:rPr>
        <w:t xml:space="preserve">1.1 </w:t>
      </w:r>
      <w:r>
        <w:rPr>
          <w:rFonts w:hint="eastAsia" w:hAnsi="宋体" w:cs="宋体"/>
          <w:b/>
          <w:color w:val="auto"/>
          <w:sz w:val="28"/>
          <w:szCs w:val="24"/>
          <w:highlight w:val="none"/>
        </w:rPr>
        <w:t>开标一览表</w:t>
      </w:r>
    </w:p>
    <w:p>
      <w:pPr>
        <w:spacing w:line="360" w:lineRule="auto"/>
        <w:rPr>
          <w:rFonts w:ascii="宋体" w:cs="宋体"/>
          <w:color w:val="auto"/>
          <w:szCs w:val="21"/>
          <w:highlight w:val="none"/>
        </w:rPr>
      </w:pPr>
    </w:p>
    <w:tbl>
      <w:tblPr>
        <w:tblStyle w:val="55"/>
        <w:tblW w:w="913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2157"/>
        <w:gridCol w:w="3827"/>
        <w:gridCol w:w="314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Ex>
        <w:trPr>
          <w:cantSplit/>
          <w:trHeight w:val="703" w:hRule="atLeast"/>
        </w:trPr>
        <w:tc>
          <w:tcPr>
            <w:tcW w:w="2157" w:type="dxa"/>
            <w:tcBorders>
              <w:top w:val="double" w:color="auto" w:sz="4" w:space="0"/>
            </w:tcBorders>
            <w:vAlign w:val="center"/>
          </w:tcPr>
          <w:p>
            <w:pPr>
              <w:autoSpaceDE w:val="0"/>
              <w:autoSpaceDN w:val="0"/>
              <w:adjustRightInd w:val="0"/>
              <w:jc w:val="center"/>
              <w:rPr>
                <w:rFonts w:ascii="宋体"/>
                <w:b/>
                <w:color w:val="auto"/>
                <w:highlight w:val="none"/>
              </w:rPr>
            </w:pPr>
            <w:r>
              <w:rPr>
                <w:rFonts w:hint="eastAsia" w:ascii="宋体"/>
                <w:b/>
                <w:color w:val="auto"/>
                <w:highlight w:val="none"/>
              </w:rPr>
              <w:t>内容</w:t>
            </w:r>
          </w:p>
        </w:tc>
        <w:tc>
          <w:tcPr>
            <w:tcW w:w="3827" w:type="dxa"/>
            <w:tcBorders>
              <w:top w:val="double" w:color="auto" w:sz="4" w:space="0"/>
            </w:tcBorders>
            <w:vAlign w:val="center"/>
          </w:tcPr>
          <w:p>
            <w:pPr>
              <w:autoSpaceDE w:val="0"/>
              <w:autoSpaceDN w:val="0"/>
              <w:adjustRightInd w:val="0"/>
              <w:jc w:val="center"/>
              <w:rPr>
                <w:rFonts w:ascii="宋体"/>
                <w:b/>
                <w:color w:val="auto"/>
                <w:highlight w:val="none"/>
              </w:rPr>
            </w:pPr>
            <w:r>
              <w:rPr>
                <w:rFonts w:hint="eastAsia" w:ascii="宋体"/>
                <w:b/>
                <w:color w:val="auto"/>
                <w:highlight w:val="none"/>
              </w:rPr>
              <w:t>投标金额（元）</w:t>
            </w:r>
          </w:p>
        </w:tc>
        <w:tc>
          <w:tcPr>
            <w:tcW w:w="3146" w:type="dxa"/>
            <w:tcBorders>
              <w:top w:val="double" w:color="auto" w:sz="4" w:space="0"/>
            </w:tcBorders>
            <w:vAlign w:val="center"/>
          </w:tcPr>
          <w:p>
            <w:pPr>
              <w:autoSpaceDE w:val="0"/>
              <w:autoSpaceDN w:val="0"/>
              <w:adjustRightInd w:val="0"/>
              <w:jc w:val="center"/>
              <w:rPr>
                <w:rFonts w:ascii="宋体"/>
                <w:b/>
                <w:color w:val="auto"/>
                <w:highlight w:val="none"/>
              </w:rPr>
            </w:pPr>
            <w:r>
              <w:rPr>
                <w:rFonts w:hint="eastAsia" w:ascii="宋体"/>
                <w:b/>
                <w:color w:val="auto"/>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Ex>
        <w:trPr>
          <w:cantSplit/>
          <w:trHeight w:val="1347" w:hRule="atLeast"/>
        </w:trPr>
        <w:tc>
          <w:tcPr>
            <w:tcW w:w="2157" w:type="dxa"/>
            <w:tcBorders>
              <w:bottom w:val="double" w:color="auto" w:sz="4" w:space="0"/>
            </w:tcBorders>
            <w:vAlign w:val="center"/>
          </w:tcPr>
          <w:p>
            <w:pPr>
              <w:tabs>
                <w:tab w:val="left" w:pos="530"/>
              </w:tabs>
              <w:spacing w:line="360" w:lineRule="auto"/>
              <w:rPr>
                <w:rFonts w:hint="eastAsia" w:ascii="宋体" w:eastAsia="宋体"/>
                <w:color w:val="auto"/>
                <w:kern w:val="28"/>
                <w:szCs w:val="21"/>
                <w:highlight w:val="none"/>
                <w:lang w:eastAsia="zh-CN"/>
              </w:rPr>
            </w:pPr>
            <w:r>
              <w:rPr>
                <w:rFonts w:hint="eastAsia"/>
                <w:color w:val="auto"/>
                <w:highlight w:val="none"/>
                <w:lang w:eastAsia="zh-CN"/>
              </w:rPr>
              <w:t>中山市坦洲镇政府大院发电机购置安装项目</w:t>
            </w:r>
          </w:p>
        </w:tc>
        <w:tc>
          <w:tcPr>
            <w:tcW w:w="3827" w:type="dxa"/>
            <w:tcBorders>
              <w:bottom w:val="double" w:color="auto" w:sz="4" w:space="0"/>
            </w:tcBorders>
            <w:vAlign w:val="center"/>
          </w:tcPr>
          <w:p>
            <w:pPr>
              <w:autoSpaceDE w:val="0"/>
              <w:autoSpaceDN w:val="0"/>
              <w:adjustRightInd w:val="0"/>
              <w:spacing w:line="360" w:lineRule="auto"/>
              <w:rPr>
                <w:rFonts w:ascii="宋体"/>
                <w:b/>
                <w:color w:val="auto"/>
                <w:highlight w:val="none"/>
              </w:rPr>
            </w:pPr>
            <w:r>
              <w:rPr>
                <w:rFonts w:hint="eastAsia" w:ascii="宋体"/>
                <w:b/>
                <w:color w:val="auto"/>
                <w:highlight w:val="none"/>
              </w:rPr>
              <w:t>小写：</w:t>
            </w:r>
          </w:p>
          <w:p>
            <w:pPr>
              <w:autoSpaceDE w:val="0"/>
              <w:autoSpaceDN w:val="0"/>
              <w:adjustRightInd w:val="0"/>
              <w:spacing w:line="360" w:lineRule="auto"/>
              <w:rPr>
                <w:rFonts w:ascii="宋体"/>
                <w:b/>
                <w:color w:val="auto"/>
                <w:highlight w:val="none"/>
              </w:rPr>
            </w:pPr>
            <w:r>
              <w:rPr>
                <w:rFonts w:hint="eastAsia" w:ascii="宋体"/>
                <w:b/>
                <w:color w:val="auto"/>
                <w:highlight w:val="none"/>
              </w:rPr>
              <w:t>大写：</w:t>
            </w:r>
          </w:p>
        </w:tc>
        <w:tc>
          <w:tcPr>
            <w:tcW w:w="3146" w:type="dxa"/>
            <w:tcBorders>
              <w:bottom w:val="double" w:color="auto" w:sz="4" w:space="0"/>
            </w:tcBorders>
            <w:vAlign w:val="center"/>
          </w:tcPr>
          <w:p>
            <w:pPr>
              <w:autoSpaceDE w:val="0"/>
              <w:autoSpaceDN w:val="0"/>
              <w:adjustRightInd w:val="0"/>
              <w:jc w:val="center"/>
              <w:rPr>
                <w:rFonts w:ascii="宋体"/>
                <w:color w:val="auto"/>
                <w:highlight w:val="none"/>
              </w:rPr>
            </w:pPr>
          </w:p>
        </w:tc>
      </w:tr>
    </w:tbl>
    <w:p>
      <w:pPr>
        <w:pStyle w:val="30"/>
        <w:widowControl/>
        <w:ind w:left="945" w:hanging="945" w:hangingChars="450"/>
        <w:jc w:val="left"/>
        <w:rPr>
          <w:rFonts w:ascii="宋体" w:cs="宋体"/>
          <w:color w:val="auto"/>
          <w:szCs w:val="21"/>
          <w:highlight w:val="none"/>
        </w:rPr>
      </w:pPr>
    </w:p>
    <w:p>
      <w:pPr>
        <w:spacing w:line="360" w:lineRule="auto"/>
        <w:ind w:left="723" w:hanging="723" w:hangingChars="343"/>
        <w:rPr>
          <w:b/>
          <w:color w:val="auto"/>
          <w:szCs w:val="21"/>
          <w:highlight w:val="none"/>
        </w:rPr>
      </w:pPr>
      <w:r>
        <w:rPr>
          <w:rFonts w:hint="eastAsia"/>
          <w:b/>
          <w:color w:val="auto"/>
          <w:szCs w:val="21"/>
          <w:highlight w:val="none"/>
        </w:rPr>
        <w:t>说明：1、</w:t>
      </w:r>
      <w:r>
        <w:rPr>
          <w:rFonts w:hint="eastAsia" w:ascii="宋体" w:hAnsi="宋体"/>
          <w:b/>
          <w:color w:val="auto"/>
          <w:szCs w:val="21"/>
          <w:highlight w:val="none"/>
        </w:rPr>
        <w:t>本项目的投标报价包括中标人为完成本项目所产生的所有一切预见和不可预见费用</w:t>
      </w:r>
      <w:r>
        <w:rPr>
          <w:rFonts w:hint="eastAsia"/>
          <w:b/>
          <w:color w:val="auto"/>
          <w:szCs w:val="21"/>
          <w:highlight w:val="none"/>
        </w:rPr>
        <w:t>。采购人不再支付其它费用。</w:t>
      </w:r>
    </w:p>
    <w:p>
      <w:pPr>
        <w:spacing w:line="360" w:lineRule="auto"/>
        <w:ind w:left="620" w:hanging="620" w:hangingChars="294"/>
        <w:rPr>
          <w:b/>
          <w:color w:val="auto"/>
          <w:szCs w:val="21"/>
          <w:highlight w:val="none"/>
        </w:rPr>
      </w:pPr>
      <w:r>
        <w:rPr>
          <w:rFonts w:hint="eastAsia"/>
          <w:b/>
          <w:color w:val="auto"/>
          <w:szCs w:val="21"/>
          <w:highlight w:val="none"/>
        </w:rPr>
        <w:t xml:space="preserve">      2、报价保留小数点后2位，四舍五入。</w:t>
      </w:r>
    </w:p>
    <w:p>
      <w:pPr>
        <w:spacing w:line="360" w:lineRule="auto"/>
        <w:ind w:left="620" w:hanging="620" w:hangingChars="294"/>
        <w:rPr>
          <w:b/>
          <w:color w:val="auto"/>
          <w:szCs w:val="21"/>
          <w:highlight w:val="none"/>
        </w:rPr>
      </w:pPr>
      <w:r>
        <w:rPr>
          <w:rFonts w:hint="eastAsia"/>
          <w:b/>
          <w:color w:val="auto"/>
          <w:szCs w:val="21"/>
          <w:highlight w:val="none"/>
        </w:rPr>
        <w:t xml:space="preserve">      3、投标报价不能高过采购预算，否则为无效投标。</w:t>
      </w:r>
    </w:p>
    <w:p>
      <w:pPr>
        <w:pStyle w:val="30"/>
        <w:widowControl/>
        <w:ind w:firstLineChars="200"/>
        <w:jc w:val="left"/>
        <w:rPr>
          <w:rFonts w:ascii="宋体" w:hAnsi="宋体"/>
          <w:color w:val="auto"/>
          <w:highlight w:val="none"/>
        </w:rPr>
      </w:pPr>
    </w:p>
    <w:p>
      <w:pPr>
        <w:spacing w:line="360" w:lineRule="auto"/>
        <w:ind w:firstLine="420" w:firstLineChars="200"/>
        <w:rPr>
          <w:rFonts w:ascii="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投标人名称（公章）：</w:t>
      </w:r>
    </w:p>
    <w:p>
      <w:pPr>
        <w:spacing w:line="360" w:lineRule="auto"/>
        <w:rPr>
          <w:rFonts w:ascii="宋体" w:cs="宋体"/>
          <w:color w:val="auto"/>
          <w:szCs w:val="21"/>
          <w:highlight w:val="none"/>
        </w:rPr>
      </w:pPr>
      <w:r>
        <w:rPr>
          <w:rFonts w:hint="eastAsia" w:ascii="宋体" w:hAnsi="宋体" w:cs="宋体"/>
          <w:color w:val="auto"/>
          <w:szCs w:val="21"/>
          <w:highlight w:val="none"/>
        </w:rPr>
        <w:t>投标人法定代表人（或法定代表人授权代表）签名：</w:t>
      </w:r>
    </w:p>
    <w:p>
      <w:pPr>
        <w:spacing w:line="360" w:lineRule="auto"/>
        <w:rPr>
          <w:rFonts w:ascii="宋体" w:cs="宋体"/>
          <w:color w:val="auto"/>
          <w:szCs w:val="21"/>
          <w:highlight w:val="none"/>
        </w:rPr>
      </w:pPr>
      <w:r>
        <w:rPr>
          <w:rFonts w:hint="eastAsia" w:ascii="宋体" w:hAnsi="宋体" w:cs="宋体"/>
          <w:color w:val="auto"/>
          <w:szCs w:val="21"/>
          <w:highlight w:val="none"/>
        </w:rPr>
        <w:t>日期：年月日</w:t>
      </w:r>
    </w:p>
    <w:p>
      <w:pPr>
        <w:spacing w:line="360" w:lineRule="auto"/>
        <w:rPr>
          <w:rFonts w:ascii="宋体" w:cs="宋体"/>
          <w:color w:val="auto"/>
          <w:szCs w:val="21"/>
          <w:highlight w:val="none"/>
        </w:rPr>
      </w:pPr>
    </w:p>
    <w:p>
      <w:pPr>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27"/>
        <w:spacing w:line="360" w:lineRule="auto"/>
        <w:jc w:val="left"/>
        <w:rPr>
          <w:rFonts w:hAnsi="宋体" w:cs="宋体"/>
          <w:color w:val="auto"/>
          <w:sz w:val="28"/>
          <w:szCs w:val="24"/>
          <w:highlight w:val="none"/>
        </w:rPr>
      </w:pPr>
    </w:p>
    <w:p>
      <w:pPr>
        <w:pStyle w:val="27"/>
        <w:spacing w:line="360" w:lineRule="auto"/>
        <w:jc w:val="left"/>
        <w:rPr>
          <w:rFonts w:hAnsi="宋体" w:cs="宋体"/>
          <w:color w:val="auto"/>
          <w:sz w:val="28"/>
          <w:szCs w:val="24"/>
          <w:highlight w:val="none"/>
        </w:rPr>
      </w:pPr>
    </w:p>
    <w:p>
      <w:pPr>
        <w:pStyle w:val="7"/>
        <w:keepNext/>
        <w:keepLines/>
        <w:tabs>
          <w:tab w:val="left" w:pos="420"/>
        </w:tabs>
        <w:autoSpaceDE/>
        <w:adjustRightInd/>
        <w:snapToGrid/>
        <w:spacing w:after="120" w:afterLines="50"/>
        <w:jc w:val="center"/>
        <w:rPr>
          <w:rFonts w:hAnsi="宋体" w:cs="宋体"/>
          <w:b/>
          <w:color w:val="auto"/>
          <w:sz w:val="28"/>
          <w:szCs w:val="24"/>
          <w:highlight w:val="none"/>
        </w:rPr>
      </w:pPr>
      <w:r>
        <w:rPr>
          <w:rFonts w:hint="eastAsia" w:hAnsi="宋体" w:cs="宋体"/>
          <w:b/>
          <w:color w:val="auto"/>
          <w:sz w:val="28"/>
          <w:szCs w:val="24"/>
          <w:highlight w:val="none"/>
        </w:rPr>
        <w:t>1.2分项报价清单</w:t>
      </w:r>
    </w:p>
    <w:p>
      <w:pPr>
        <w:spacing w:line="360" w:lineRule="auto"/>
        <w:rPr>
          <w:rFonts w:ascii="宋体" w:hAnsi="宋体" w:cs="宋体"/>
          <w:color w:val="auto"/>
          <w:szCs w:val="21"/>
          <w:highlight w:val="none"/>
        </w:rPr>
      </w:pPr>
    </w:p>
    <w:p>
      <w:pPr>
        <w:spacing w:line="360" w:lineRule="auto"/>
        <w:rPr>
          <w:rFonts w:hAnsi="宋体" w:cs="宋体"/>
          <w:color w:val="auto"/>
          <w:sz w:val="28"/>
          <w:szCs w:val="24"/>
          <w:highlight w:val="none"/>
        </w:rPr>
      </w:pPr>
      <w:r>
        <w:rPr>
          <w:rFonts w:hint="eastAsia" w:ascii="宋体" w:hAnsi="宋体" w:cs="宋体"/>
          <w:color w:val="auto"/>
          <w:szCs w:val="21"/>
          <w:highlight w:val="none"/>
        </w:rPr>
        <w:t>投标人按采购人提供的详细采购清单进行报价：</w:t>
      </w:r>
    </w:p>
    <w:p>
      <w:pPr>
        <w:pStyle w:val="27"/>
        <w:spacing w:line="360" w:lineRule="auto"/>
        <w:jc w:val="center"/>
        <w:rPr>
          <w:color w:val="auto"/>
          <w:sz w:val="24"/>
          <w:szCs w:val="24"/>
          <w:highlight w:val="none"/>
        </w:rPr>
      </w:pPr>
      <w:r>
        <w:rPr>
          <w:rFonts w:hint="eastAsia"/>
          <w:b/>
          <w:color w:val="auto"/>
          <w:sz w:val="24"/>
          <w:szCs w:val="24"/>
          <w:highlight w:val="none"/>
        </w:rPr>
        <w:t xml:space="preserve">                                 </w:t>
      </w:r>
      <w:r>
        <w:rPr>
          <w:rFonts w:hint="eastAsia"/>
          <w:color w:val="auto"/>
          <w:highlight w:val="none"/>
        </w:rPr>
        <w:t>[货币单位：人民币元]</w:t>
      </w:r>
    </w:p>
    <w:tbl>
      <w:tblPr>
        <w:tblStyle w:val="55"/>
        <w:tblpPr w:leftFromText="180" w:rightFromText="180" w:vertAnchor="text" w:horzAnchor="page" w:tblpX="1415" w:tblpY="15"/>
        <w:tblOverlap w:val="never"/>
        <w:tblW w:w="9486" w:type="dxa"/>
        <w:tblInd w:w="0" w:type="dxa"/>
        <w:tblLayout w:type="fixed"/>
        <w:tblCellMar>
          <w:top w:w="15" w:type="dxa"/>
          <w:left w:w="15" w:type="dxa"/>
          <w:bottom w:w="15" w:type="dxa"/>
          <w:right w:w="15" w:type="dxa"/>
        </w:tblCellMar>
      </w:tblPr>
      <w:tblGrid>
        <w:gridCol w:w="529"/>
        <w:gridCol w:w="1388"/>
        <w:gridCol w:w="864"/>
        <w:gridCol w:w="702"/>
        <w:gridCol w:w="1239"/>
        <w:gridCol w:w="1059"/>
        <w:gridCol w:w="750"/>
        <w:gridCol w:w="899"/>
        <w:gridCol w:w="2056"/>
      </w:tblGrid>
      <w:tr>
        <w:tblPrEx>
          <w:tblLayout w:type="fixed"/>
          <w:tblCellMar>
            <w:top w:w="15" w:type="dxa"/>
            <w:left w:w="15" w:type="dxa"/>
            <w:bottom w:w="15" w:type="dxa"/>
            <w:right w:w="15" w:type="dxa"/>
          </w:tblCellMar>
        </w:tblPrEx>
        <w:trPr>
          <w:trHeight w:val="896" w:hRule="atLeast"/>
        </w:trPr>
        <w:tc>
          <w:tcPr>
            <w:tcW w:w="5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0"/>
                <w:highlight w:val="none"/>
              </w:rPr>
            </w:pPr>
            <w:r>
              <w:rPr>
                <w:rFonts w:hint="eastAsia" w:ascii="宋体" w:hAnsi="宋体" w:cs="宋体"/>
                <w:b/>
                <w:color w:val="auto"/>
                <w:sz w:val="20"/>
                <w:highlight w:val="none"/>
                <w:lang w:bidi="ar"/>
              </w:rPr>
              <w:t>序号</w:t>
            </w: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0"/>
                <w:highlight w:val="none"/>
              </w:rPr>
            </w:pPr>
            <w:r>
              <w:rPr>
                <w:rFonts w:hint="eastAsia" w:ascii="宋体" w:hAnsi="宋体" w:cs="宋体"/>
                <w:b/>
                <w:color w:val="auto"/>
                <w:sz w:val="20"/>
                <w:highlight w:val="none"/>
                <w:lang w:bidi="ar"/>
              </w:rPr>
              <w:t>物料名称</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0"/>
                <w:highlight w:val="none"/>
              </w:rPr>
            </w:pPr>
            <w:r>
              <w:rPr>
                <w:rFonts w:hint="eastAsia" w:ascii="宋体" w:hAnsi="宋体" w:cs="宋体"/>
                <w:b/>
                <w:color w:val="auto"/>
                <w:sz w:val="20"/>
                <w:highlight w:val="none"/>
                <w:lang w:bidi="ar"/>
              </w:rPr>
              <w:t>规格</w:t>
            </w:r>
          </w:p>
        </w:tc>
        <w:tc>
          <w:tcPr>
            <w:tcW w:w="7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0"/>
                <w:highlight w:val="none"/>
                <w:lang w:bidi="ar"/>
              </w:rPr>
            </w:pPr>
          </w:p>
          <w:p>
            <w:pPr>
              <w:jc w:val="both"/>
              <w:textAlignment w:val="center"/>
              <w:rPr>
                <w:rFonts w:ascii="宋体" w:hAnsi="宋体" w:cs="宋体"/>
                <w:b/>
                <w:color w:val="auto"/>
                <w:sz w:val="20"/>
                <w:highlight w:val="none"/>
                <w:lang w:bidi="ar"/>
              </w:rPr>
            </w:pPr>
          </w:p>
          <w:p>
            <w:pPr>
              <w:jc w:val="center"/>
              <w:textAlignment w:val="center"/>
              <w:rPr>
                <w:rFonts w:ascii="宋体" w:hAnsi="宋体" w:cs="宋体"/>
                <w:b/>
                <w:color w:val="auto"/>
                <w:sz w:val="20"/>
                <w:highlight w:val="none"/>
              </w:rPr>
            </w:pPr>
            <w:r>
              <w:rPr>
                <w:rFonts w:hint="eastAsia" w:ascii="宋体" w:hAnsi="宋体" w:cs="宋体"/>
                <w:b/>
                <w:color w:val="auto"/>
                <w:sz w:val="20"/>
                <w:highlight w:val="none"/>
                <w:lang w:bidi="ar"/>
              </w:rPr>
              <w:t>单位</w:t>
            </w:r>
          </w:p>
          <w:p>
            <w:pPr>
              <w:jc w:val="center"/>
              <w:textAlignment w:val="center"/>
              <w:rPr>
                <w:rFonts w:ascii="宋体" w:hAnsi="宋体" w:cs="宋体"/>
                <w:b/>
                <w:color w:val="auto"/>
                <w:sz w:val="20"/>
                <w:highlight w:val="none"/>
                <w:lang w:bidi="ar"/>
              </w:rPr>
            </w:pPr>
          </w:p>
          <w:p>
            <w:pPr>
              <w:jc w:val="center"/>
              <w:textAlignment w:val="center"/>
              <w:rPr>
                <w:rFonts w:ascii="宋体" w:hAnsi="宋体" w:cs="宋体"/>
                <w:b/>
                <w:color w:val="auto"/>
                <w:sz w:val="20"/>
                <w:highlight w:val="none"/>
                <w:lang w:bidi="ar"/>
              </w:rPr>
            </w:pPr>
          </w:p>
        </w:tc>
        <w:tc>
          <w:tcPr>
            <w:tcW w:w="123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0"/>
                <w:highlight w:val="none"/>
                <w:lang w:bidi="ar"/>
              </w:rPr>
            </w:pPr>
            <w:r>
              <w:rPr>
                <w:rFonts w:hint="eastAsia" w:ascii="宋体" w:hAnsi="宋体" w:cs="宋体"/>
                <w:b/>
                <w:color w:val="auto"/>
                <w:sz w:val="20"/>
                <w:highlight w:val="none"/>
                <w:lang w:bidi="ar"/>
              </w:rPr>
              <w:t>数量</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auto"/>
                <w:sz w:val="20"/>
                <w:highlight w:val="none"/>
              </w:rPr>
            </w:pPr>
            <w:r>
              <w:rPr>
                <w:rFonts w:hint="eastAsia" w:ascii="宋体" w:hAnsi="宋体" w:cs="宋体"/>
                <w:b/>
                <w:color w:val="auto"/>
                <w:sz w:val="20"/>
                <w:highlight w:val="none"/>
                <w:lang w:bidi="ar"/>
              </w:rPr>
              <w:t>品牌</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0"/>
                <w:highlight w:val="none"/>
                <w:lang w:bidi="ar"/>
              </w:rPr>
            </w:pPr>
            <w:r>
              <w:rPr>
                <w:rFonts w:hint="eastAsia" w:ascii="宋体" w:hAnsi="宋体" w:cs="宋体"/>
                <w:b/>
                <w:color w:val="auto"/>
                <w:sz w:val="20"/>
                <w:highlight w:val="none"/>
                <w:lang w:bidi="ar"/>
              </w:rPr>
              <w:t>型号</w:t>
            </w:r>
          </w:p>
        </w:tc>
        <w:tc>
          <w:tcPr>
            <w:tcW w:w="8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0"/>
                <w:highlight w:val="none"/>
                <w:lang w:bidi="ar"/>
              </w:rPr>
            </w:pPr>
            <w:r>
              <w:rPr>
                <w:rFonts w:hint="eastAsia" w:ascii="宋体" w:hAnsi="宋体" w:cs="宋体"/>
                <w:b/>
                <w:color w:val="auto"/>
                <w:sz w:val="20"/>
                <w:highlight w:val="none"/>
                <w:lang w:bidi="ar"/>
              </w:rPr>
              <w:t>单价</w:t>
            </w: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0"/>
                <w:highlight w:val="none"/>
              </w:rPr>
            </w:pPr>
            <w:r>
              <w:rPr>
                <w:rFonts w:hint="eastAsia" w:ascii="宋体" w:hAnsi="宋体" w:cs="宋体"/>
                <w:b/>
                <w:color w:val="auto"/>
                <w:sz w:val="20"/>
                <w:highlight w:val="none"/>
                <w:lang w:bidi="ar"/>
              </w:rPr>
              <w:t>备注</w:t>
            </w:r>
          </w:p>
        </w:tc>
      </w:tr>
      <w:tr>
        <w:tblPrEx>
          <w:tblLayout w:type="fixed"/>
          <w:tblCellMar>
            <w:top w:w="15" w:type="dxa"/>
            <w:left w:w="15" w:type="dxa"/>
            <w:bottom w:w="15" w:type="dxa"/>
            <w:right w:w="15" w:type="dxa"/>
          </w:tblCellMar>
        </w:tblPrEx>
        <w:trPr>
          <w:trHeight w:val="482" w:hRule="atLeast"/>
        </w:trPr>
        <w:tc>
          <w:tcPr>
            <w:tcW w:w="5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1</w:t>
            </w: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jc w:val="distribute"/>
              <w:textAlignment w:val="center"/>
              <w:rPr>
                <w:rFonts w:ascii="宋体" w:hAnsi="宋体" w:cs="宋体"/>
                <w:color w:val="auto"/>
                <w:sz w:val="18"/>
                <w:szCs w:val="18"/>
                <w:highlight w:val="none"/>
                <w:lang w:bidi="ar"/>
              </w:rPr>
            </w:pPr>
          </w:p>
        </w:tc>
        <w:tc>
          <w:tcPr>
            <w:tcW w:w="1059" w:type="dxa"/>
            <w:tcBorders>
              <w:top w:val="single" w:color="000000" w:sz="4" w:space="0"/>
              <w:left w:val="single" w:color="000000" w:sz="4" w:space="0"/>
              <w:bottom w:val="single" w:color="000000" w:sz="4" w:space="0"/>
              <w:right w:val="single" w:color="000000" w:sz="4" w:space="0"/>
            </w:tcBorders>
            <w:vAlign w:val="center"/>
          </w:tcPr>
          <w:p>
            <w:pPr>
              <w:jc w:val="distribute"/>
              <w:textAlignment w:val="center"/>
              <w:rPr>
                <w:rFonts w:ascii="宋体" w:hAnsi="宋体" w:cs="宋体"/>
                <w:color w:val="auto"/>
                <w:sz w:val="18"/>
                <w:szCs w:val="18"/>
                <w:highlight w:val="none"/>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lang w:bidi="ar"/>
              </w:rPr>
            </w:pPr>
          </w:p>
        </w:tc>
        <w:tc>
          <w:tcPr>
            <w:tcW w:w="8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lang w:bidi="ar"/>
              </w:rPr>
            </w:pP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highlight w:val="none"/>
              </w:rPr>
            </w:pPr>
          </w:p>
        </w:tc>
      </w:tr>
      <w:tr>
        <w:tblPrEx>
          <w:tblLayout w:type="fixed"/>
          <w:tblCellMar>
            <w:top w:w="15" w:type="dxa"/>
            <w:left w:w="15" w:type="dxa"/>
            <w:bottom w:w="15" w:type="dxa"/>
            <w:right w:w="15" w:type="dxa"/>
          </w:tblCellMar>
        </w:tblPrEx>
        <w:trPr>
          <w:trHeight w:val="482" w:hRule="atLeast"/>
        </w:trPr>
        <w:tc>
          <w:tcPr>
            <w:tcW w:w="5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2</w:t>
            </w: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jc w:val="distribute"/>
              <w:textAlignment w:val="center"/>
              <w:rPr>
                <w:rFonts w:ascii="宋体" w:hAnsi="宋体" w:cs="宋体"/>
                <w:color w:val="auto"/>
                <w:sz w:val="18"/>
                <w:szCs w:val="18"/>
                <w:highlight w:val="none"/>
                <w:lang w:bidi="ar"/>
              </w:rPr>
            </w:pPr>
          </w:p>
        </w:tc>
        <w:tc>
          <w:tcPr>
            <w:tcW w:w="1059" w:type="dxa"/>
            <w:tcBorders>
              <w:top w:val="single" w:color="000000" w:sz="4" w:space="0"/>
              <w:left w:val="single" w:color="000000" w:sz="4" w:space="0"/>
              <w:bottom w:val="single" w:color="000000" w:sz="4" w:space="0"/>
              <w:right w:val="single" w:color="000000" w:sz="4" w:space="0"/>
            </w:tcBorders>
            <w:vAlign w:val="center"/>
          </w:tcPr>
          <w:p>
            <w:pPr>
              <w:jc w:val="distribute"/>
              <w:textAlignment w:val="center"/>
              <w:rPr>
                <w:rFonts w:ascii="宋体" w:hAnsi="宋体" w:cs="宋体"/>
                <w:color w:val="auto"/>
                <w:sz w:val="18"/>
                <w:szCs w:val="18"/>
                <w:highlight w:val="none"/>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lang w:bidi="ar"/>
              </w:rPr>
            </w:pPr>
          </w:p>
        </w:tc>
        <w:tc>
          <w:tcPr>
            <w:tcW w:w="8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lang w:bidi="ar"/>
              </w:rPr>
            </w:pP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highlight w:val="none"/>
              </w:rPr>
            </w:pPr>
          </w:p>
        </w:tc>
      </w:tr>
      <w:tr>
        <w:tblPrEx>
          <w:tblLayout w:type="fixed"/>
          <w:tblCellMar>
            <w:top w:w="15" w:type="dxa"/>
            <w:left w:w="15" w:type="dxa"/>
            <w:bottom w:w="15" w:type="dxa"/>
            <w:right w:w="15" w:type="dxa"/>
          </w:tblCellMar>
        </w:tblPrEx>
        <w:trPr>
          <w:trHeight w:val="482" w:hRule="atLeast"/>
        </w:trPr>
        <w:tc>
          <w:tcPr>
            <w:tcW w:w="5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3</w:t>
            </w: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jc w:val="distribute"/>
              <w:textAlignment w:val="center"/>
              <w:rPr>
                <w:rFonts w:ascii="宋体" w:hAnsi="宋体" w:cs="宋体"/>
                <w:color w:val="auto"/>
                <w:sz w:val="18"/>
                <w:szCs w:val="18"/>
                <w:highlight w:val="none"/>
                <w:lang w:bidi="ar"/>
              </w:rPr>
            </w:pPr>
          </w:p>
        </w:tc>
        <w:tc>
          <w:tcPr>
            <w:tcW w:w="1059" w:type="dxa"/>
            <w:tcBorders>
              <w:top w:val="single" w:color="000000" w:sz="4" w:space="0"/>
              <w:left w:val="single" w:color="000000" w:sz="4" w:space="0"/>
              <w:bottom w:val="single" w:color="000000" w:sz="4" w:space="0"/>
              <w:right w:val="single" w:color="000000" w:sz="4" w:space="0"/>
            </w:tcBorders>
            <w:vAlign w:val="center"/>
          </w:tcPr>
          <w:p>
            <w:pPr>
              <w:jc w:val="distribute"/>
              <w:textAlignment w:val="center"/>
              <w:rPr>
                <w:rFonts w:ascii="宋体" w:hAnsi="宋体" w:cs="宋体"/>
                <w:color w:val="auto"/>
                <w:sz w:val="18"/>
                <w:szCs w:val="18"/>
                <w:highlight w:val="none"/>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lang w:bidi="ar"/>
              </w:rPr>
            </w:pPr>
          </w:p>
        </w:tc>
        <w:tc>
          <w:tcPr>
            <w:tcW w:w="8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lang w:bidi="ar"/>
              </w:rPr>
            </w:pP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highlight w:val="none"/>
              </w:rPr>
            </w:pPr>
          </w:p>
        </w:tc>
      </w:tr>
      <w:tr>
        <w:tblPrEx>
          <w:tblLayout w:type="fixed"/>
          <w:tblCellMar>
            <w:top w:w="15" w:type="dxa"/>
            <w:left w:w="15" w:type="dxa"/>
            <w:bottom w:w="15" w:type="dxa"/>
            <w:right w:w="15" w:type="dxa"/>
          </w:tblCellMar>
        </w:tblPrEx>
        <w:trPr>
          <w:trHeight w:val="482" w:hRule="atLeast"/>
        </w:trPr>
        <w:tc>
          <w:tcPr>
            <w:tcW w:w="5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4</w:t>
            </w: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jc w:val="distribute"/>
              <w:textAlignment w:val="center"/>
              <w:rPr>
                <w:rFonts w:ascii="宋体" w:hAnsi="宋体" w:cs="宋体"/>
                <w:color w:val="auto"/>
                <w:sz w:val="18"/>
                <w:szCs w:val="18"/>
                <w:highlight w:val="none"/>
                <w:lang w:bidi="ar"/>
              </w:rPr>
            </w:pPr>
          </w:p>
        </w:tc>
        <w:tc>
          <w:tcPr>
            <w:tcW w:w="1059" w:type="dxa"/>
            <w:tcBorders>
              <w:top w:val="single" w:color="000000" w:sz="4" w:space="0"/>
              <w:left w:val="single" w:color="000000" w:sz="4" w:space="0"/>
              <w:bottom w:val="single" w:color="000000" w:sz="4" w:space="0"/>
              <w:right w:val="single" w:color="000000" w:sz="4" w:space="0"/>
            </w:tcBorders>
            <w:vAlign w:val="center"/>
          </w:tcPr>
          <w:p>
            <w:pPr>
              <w:jc w:val="distribute"/>
              <w:textAlignment w:val="center"/>
              <w:rPr>
                <w:rFonts w:ascii="宋体" w:hAnsi="宋体" w:cs="宋体"/>
                <w:color w:val="auto"/>
                <w:sz w:val="18"/>
                <w:szCs w:val="18"/>
                <w:highlight w:val="none"/>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lang w:bidi="ar"/>
              </w:rPr>
            </w:pPr>
          </w:p>
        </w:tc>
        <w:tc>
          <w:tcPr>
            <w:tcW w:w="8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lang w:bidi="ar"/>
              </w:rPr>
            </w:pP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highlight w:val="none"/>
              </w:rPr>
            </w:pPr>
          </w:p>
        </w:tc>
      </w:tr>
      <w:tr>
        <w:tblPrEx>
          <w:tblLayout w:type="fixed"/>
          <w:tblCellMar>
            <w:top w:w="15" w:type="dxa"/>
            <w:left w:w="15" w:type="dxa"/>
            <w:bottom w:w="15" w:type="dxa"/>
            <w:right w:w="15" w:type="dxa"/>
          </w:tblCellMar>
        </w:tblPrEx>
        <w:trPr>
          <w:trHeight w:val="482" w:hRule="atLeast"/>
        </w:trPr>
        <w:tc>
          <w:tcPr>
            <w:tcW w:w="5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5</w:t>
            </w: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jc w:val="distribute"/>
              <w:textAlignment w:val="center"/>
              <w:rPr>
                <w:rFonts w:ascii="宋体" w:hAnsi="宋体" w:cs="宋体"/>
                <w:color w:val="auto"/>
                <w:sz w:val="18"/>
                <w:szCs w:val="18"/>
                <w:highlight w:val="none"/>
                <w:lang w:bidi="ar"/>
              </w:rPr>
            </w:pPr>
          </w:p>
        </w:tc>
        <w:tc>
          <w:tcPr>
            <w:tcW w:w="1059" w:type="dxa"/>
            <w:tcBorders>
              <w:top w:val="single" w:color="000000" w:sz="4" w:space="0"/>
              <w:left w:val="single" w:color="000000" w:sz="4" w:space="0"/>
              <w:bottom w:val="single" w:color="000000" w:sz="4" w:space="0"/>
              <w:right w:val="single" w:color="000000" w:sz="4" w:space="0"/>
            </w:tcBorders>
            <w:vAlign w:val="center"/>
          </w:tcPr>
          <w:p>
            <w:pPr>
              <w:jc w:val="distribute"/>
              <w:textAlignment w:val="center"/>
              <w:rPr>
                <w:rFonts w:ascii="宋体" w:hAnsi="宋体" w:cs="宋体"/>
                <w:color w:val="auto"/>
                <w:sz w:val="18"/>
                <w:szCs w:val="18"/>
                <w:highlight w:val="none"/>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lang w:bidi="ar"/>
              </w:rPr>
            </w:pPr>
          </w:p>
        </w:tc>
        <w:tc>
          <w:tcPr>
            <w:tcW w:w="8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lang w:bidi="ar"/>
              </w:rPr>
            </w:pP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highlight w:val="none"/>
              </w:rPr>
            </w:pPr>
          </w:p>
        </w:tc>
      </w:tr>
      <w:tr>
        <w:tblPrEx>
          <w:tblLayout w:type="fixed"/>
          <w:tblCellMar>
            <w:top w:w="15" w:type="dxa"/>
            <w:left w:w="15" w:type="dxa"/>
            <w:bottom w:w="15" w:type="dxa"/>
            <w:right w:w="15" w:type="dxa"/>
          </w:tblCellMar>
        </w:tblPrEx>
        <w:trPr>
          <w:trHeight w:val="482" w:hRule="atLeast"/>
        </w:trPr>
        <w:tc>
          <w:tcPr>
            <w:tcW w:w="529" w:type="dxa"/>
            <w:tcBorders>
              <w:top w:val="single" w:color="000000" w:sz="4" w:space="0"/>
              <w:left w:val="single" w:color="000000" w:sz="4" w:space="0"/>
              <w:bottom w:val="single" w:color="000000" w:sz="4" w:space="0"/>
              <w:right w:val="single" w:color="000000" w:sz="4" w:space="0"/>
            </w:tcBorders>
            <w:vAlign w:val="center"/>
          </w:tcPr>
          <w:p>
            <w:pPr>
              <w:jc w:val="both"/>
              <w:textAlignment w:val="center"/>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w:t>
            </w: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jc w:val="distribute"/>
              <w:textAlignment w:val="center"/>
              <w:rPr>
                <w:rFonts w:ascii="宋体" w:hAnsi="宋体" w:cs="宋体"/>
                <w:color w:val="auto"/>
                <w:sz w:val="18"/>
                <w:szCs w:val="18"/>
                <w:highlight w:val="none"/>
                <w:lang w:bidi="ar"/>
              </w:rPr>
            </w:pPr>
          </w:p>
        </w:tc>
        <w:tc>
          <w:tcPr>
            <w:tcW w:w="1059" w:type="dxa"/>
            <w:tcBorders>
              <w:top w:val="single" w:color="000000" w:sz="4" w:space="0"/>
              <w:left w:val="single" w:color="000000" w:sz="4" w:space="0"/>
              <w:bottom w:val="single" w:color="000000" w:sz="4" w:space="0"/>
              <w:right w:val="single" w:color="000000" w:sz="4" w:space="0"/>
            </w:tcBorders>
            <w:vAlign w:val="center"/>
          </w:tcPr>
          <w:p>
            <w:pPr>
              <w:jc w:val="distribute"/>
              <w:textAlignment w:val="center"/>
              <w:rPr>
                <w:rFonts w:ascii="宋体" w:hAnsi="宋体" w:cs="宋体"/>
                <w:color w:val="auto"/>
                <w:sz w:val="18"/>
                <w:szCs w:val="18"/>
                <w:highlight w:val="none"/>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lang w:bidi="ar"/>
              </w:rPr>
            </w:pPr>
          </w:p>
        </w:tc>
        <w:tc>
          <w:tcPr>
            <w:tcW w:w="8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18"/>
                <w:szCs w:val="18"/>
                <w:highlight w:val="none"/>
                <w:lang w:bidi="ar"/>
              </w:rPr>
            </w:pPr>
          </w:p>
        </w:tc>
        <w:tc>
          <w:tcPr>
            <w:tcW w:w="20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highlight w:val="none"/>
              </w:rPr>
            </w:pPr>
          </w:p>
        </w:tc>
      </w:tr>
    </w:tbl>
    <w:p>
      <w:pPr>
        <w:pStyle w:val="27"/>
        <w:spacing w:line="360" w:lineRule="auto"/>
        <w:rPr>
          <w:color w:val="auto"/>
          <w:highlight w:val="none"/>
        </w:rPr>
      </w:pPr>
    </w:p>
    <w:p>
      <w:pPr>
        <w:pStyle w:val="27"/>
        <w:spacing w:line="360" w:lineRule="auto"/>
        <w:rPr>
          <w:color w:val="auto"/>
          <w:highlight w:val="none"/>
        </w:rPr>
      </w:pPr>
    </w:p>
    <w:p>
      <w:pPr>
        <w:spacing w:line="360" w:lineRule="auto"/>
        <w:rPr>
          <w:color w:val="auto"/>
          <w:highlight w:val="none"/>
        </w:rPr>
      </w:pPr>
      <w:r>
        <w:rPr>
          <w:rFonts w:hint="eastAsia"/>
          <w:color w:val="auto"/>
          <w:highlight w:val="none"/>
        </w:rPr>
        <w:t>注：</w:t>
      </w:r>
    </w:p>
    <w:p>
      <w:pPr>
        <w:rPr>
          <w:color w:val="auto"/>
          <w:highlight w:val="none"/>
        </w:rPr>
      </w:pPr>
      <w:r>
        <w:rPr>
          <w:rFonts w:hint="eastAsia" w:ascii="宋体" w:hAnsi="宋体" w:cs="宋体"/>
          <w:color w:val="auto"/>
          <w:szCs w:val="21"/>
          <w:highlight w:val="none"/>
        </w:rPr>
        <w:t>1、</w:t>
      </w:r>
      <w:r>
        <w:rPr>
          <w:rFonts w:hint="eastAsia"/>
          <w:color w:val="auto"/>
          <w:highlight w:val="none"/>
        </w:rPr>
        <w:t>（以上表格可根据实际进行调整）。</w:t>
      </w:r>
    </w:p>
    <w:p>
      <w:pPr>
        <w:spacing w:line="360" w:lineRule="auto"/>
        <w:ind w:left="315" w:hanging="315" w:hangingChars="150"/>
        <w:rPr>
          <w:rFonts w:ascii="宋体" w:hAnsi="宋体" w:cs="宋体"/>
          <w:color w:val="auto"/>
          <w:szCs w:val="21"/>
          <w:highlight w:val="none"/>
        </w:rPr>
      </w:pPr>
    </w:p>
    <w:p>
      <w:pPr>
        <w:pStyle w:val="53"/>
        <w:ind w:firstLine="240"/>
        <w:rPr>
          <w:color w:val="auto"/>
          <w:highlight w:val="none"/>
        </w:rPr>
      </w:pPr>
    </w:p>
    <w:p>
      <w:pPr>
        <w:spacing w:line="360" w:lineRule="auto"/>
        <w:ind w:left="480" w:leftChars="194" w:hanging="73" w:hangingChars="35"/>
        <w:rPr>
          <w:rFonts w:ascii="宋体" w:hAnsi="宋体"/>
          <w:color w:val="auto"/>
          <w:szCs w:val="21"/>
          <w:highlight w:val="none"/>
        </w:rPr>
      </w:pPr>
    </w:p>
    <w:p>
      <w:pPr>
        <w:ind w:firstLine="210" w:firstLineChars="100"/>
        <w:jc w:val="right"/>
        <w:rPr>
          <w:rFonts w:ascii="宋体" w:hAnsi="宋体" w:cs="宋体"/>
          <w:color w:val="auto"/>
          <w:highlight w:val="none"/>
        </w:rPr>
      </w:pPr>
    </w:p>
    <w:p>
      <w:pPr>
        <w:spacing w:line="400" w:lineRule="exact"/>
        <w:ind w:firstLine="4725" w:firstLineChars="2250"/>
        <w:rPr>
          <w:rFonts w:ascii="宋体" w:hAnsi="宋体" w:cs="宋体"/>
          <w:color w:val="auto"/>
          <w:szCs w:val="21"/>
          <w:highlight w:val="none"/>
        </w:rPr>
      </w:pPr>
      <w:r>
        <w:rPr>
          <w:rFonts w:hint="eastAsia" w:ascii="宋体" w:hAnsi="宋体" w:cs="宋体"/>
          <w:color w:val="auto"/>
          <w:szCs w:val="21"/>
          <w:highlight w:val="none"/>
        </w:rPr>
        <w:t>投标人名称(加盖公章)：</w:t>
      </w:r>
    </w:p>
    <w:p>
      <w:pPr>
        <w:spacing w:line="400" w:lineRule="exact"/>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法定代表人或授权委托人(签名或盖章)：</w:t>
      </w:r>
    </w:p>
    <w:p>
      <w:pPr>
        <w:spacing w:line="400" w:lineRule="exact"/>
        <w:ind w:firstLine="4725" w:firstLineChars="2250"/>
        <w:rPr>
          <w:rFonts w:ascii="宋体"/>
          <w:color w:val="auto"/>
          <w:szCs w:val="21"/>
          <w:highlight w:val="none"/>
        </w:rPr>
        <w:sectPr>
          <w:pgSz w:w="11905" w:h="16838"/>
          <w:pgMar w:top="1134" w:right="1134" w:bottom="1134" w:left="1134" w:header="794" w:footer="794" w:gutter="0"/>
          <w:cols w:space="0" w:num="1"/>
          <w:rtlGutter w:val="0"/>
          <w:docGrid w:linePitch="286" w:charSpace="0"/>
        </w:sectPr>
      </w:pPr>
      <w:r>
        <w:rPr>
          <w:rFonts w:hint="eastAsia" w:ascii="宋体" w:hAnsi="宋体" w:cs="宋体"/>
          <w:color w:val="auto"/>
          <w:highlight w:val="none"/>
        </w:rPr>
        <w:t xml:space="preserve">日          期：            </w:t>
      </w:r>
    </w:p>
    <w:p>
      <w:pPr>
        <w:pStyle w:val="4"/>
        <w:spacing w:before="120" w:after="120" w:line="360" w:lineRule="auto"/>
        <w:jc w:val="left"/>
        <w:rPr>
          <w:rFonts w:hAnsi="宋体" w:cs="宋体"/>
          <w:color w:val="auto"/>
          <w:szCs w:val="24"/>
          <w:highlight w:val="none"/>
        </w:rPr>
      </w:pPr>
      <w:r>
        <w:rPr>
          <w:rFonts w:hint="eastAsia" w:hAnsi="宋体" w:cs="宋体"/>
          <w:color w:val="auto"/>
          <w:szCs w:val="24"/>
          <w:highlight w:val="none"/>
        </w:rPr>
        <w:t>二、资格审查资料</w:t>
      </w:r>
    </w:p>
    <w:p>
      <w:pPr>
        <w:widowControl w:val="0"/>
        <w:numPr>
          <w:ilvl w:val="0"/>
          <w:numId w:val="0"/>
        </w:numPr>
        <w:snapToGrid w:val="0"/>
        <w:spacing w:line="360" w:lineRule="auto"/>
        <w:ind w:leftChars="0"/>
        <w:jc w:val="both"/>
        <w:rPr>
          <w:color w:val="auto"/>
          <w:highlight w:val="none"/>
        </w:rPr>
      </w:pPr>
      <w:r>
        <w:rPr>
          <w:rFonts w:ascii="宋体" w:hAnsi="宋体"/>
          <w:b/>
          <w:color w:val="auto"/>
          <w:szCs w:val="21"/>
          <w:highlight w:val="none"/>
        </w:rPr>
        <w:t>2.1</w:t>
      </w:r>
      <w:r>
        <w:rPr>
          <w:rFonts w:hint="eastAsia" w:ascii="宋体" w:hAnsi="宋体"/>
          <w:b/>
          <w:color w:val="auto"/>
          <w:szCs w:val="21"/>
          <w:highlight w:val="none"/>
        </w:rPr>
        <w:t>参考《政府采购法》第二十二条规定，投标人应具备的条件；</w:t>
      </w:r>
    </w:p>
    <w:p>
      <w:pPr>
        <w:spacing w:line="360" w:lineRule="auto"/>
        <w:ind w:left="525" w:leftChars="250" w:firstLine="42" w:firstLineChars="2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）具有独立承担民事责任的能力（提供营业执照复印件或证明文件复印件）；</w:t>
      </w:r>
    </w:p>
    <w:p>
      <w:pPr>
        <w:spacing w:line="360" w:lineRule="auto"/>
        <w:ind w:left="525" w:leftChars="250" w:firstLine="42" w:firstLineChars="2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）具有良好的商业信誉和健全的财务会计制度（近</w:t>
      </w:r>
      <w:r>
        <w:rPr>
          <w:rFonts w:ascii="宋体" w:hAnsi="宋体" w:cs="宋体"/>
          <w:color w:val="auto"/>
          <w:szCs w:val="21"/>
        </w:rPr>
        <w:t>12</w:t>
      </w:r>
      <w:r>
        <w:rPr>
          <w:rFonts w:hint="eastAsia" w:ascii="宋体" w:hAnsi="宋体" w:cs="宋体"/>
          <w:color w:val="auto"/>
          <w:szCs w:val="21"/>
        </w:rPr>
        <w:t>个月内任何</w:t>
      </w:r>
      <w:r>
        <w:rPr>
          <w:rFonts w:ascii="宋体" w:hAnsi="宋体" w:cs="宋体"/>
          <w:color w:val="auto"/>
          <w:szCs w:val="21"/>
        </w:rPr>
        <w:t>1</w:t>
      </w:r>
      <w:r>
        <w:rPr>
          <w:rFonts w:hint="eastAsia" w:ascii="宋体" w:hAnsi="宋体" w:cs="宋体"/>
          <w:color w:val="auto"/>
          <w:szCs w:val="21"/>
        </w:rPr>
        <w:t>个月编制的财务报表复印件）；</w:t>
      </w:r>
    </w:p>
    <w:p>
      <w:pPr>
        <w:spacing w:line="360" w:lineRule="auto"/>
        <w:ind w:left="525" w:leftChars="250" w:firstLine="42" w:firstLineChars="2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）具有履行合同所必需的设备和专业技术能力</w:t>
      </w:r>
      <w:r>
        <w:rPr>
          <w:rFonts w:hint="eastAsia" w:ascii="宋体" w:hAnsi="宋体" w:cs="宋体"/>
          <w:color w:val="auto"/>
          <w:szCs w:val="21"/>
          <w:lang w:eastAsia="zh-CN"/>
        </w:rPr>
        <w:t>（按附表填写）</w:t>
      </w:r>
      <w:r>
        <w:rPr>
          <w:rFonts w:hint="eastAsia" w:ascii="宋体" w:hAnsi="宋体" w:cs="宋体"/>
          <w:color w:val="auto"/>
          <w:szCs w:val="21"/>
        </w:rPr>
        <w:t>；</w:t>
      </w:r>
    </w:p>
    <w:p>
      <w:pPr>
        <w:spacing w:line="360" w:lineRule="auto"/>
        <w:ind w:left="525" w:leftChars="250" w:firstLine="42" w:firstLineChars="2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）有依法缴纳税收和社会保障资金的良好记录（近</w:t>
      </w:r>
      <w:r>
        <w:rPr>
          <w:rFonts w:ascii="宋体" w:hAnsi="宋体" w:cs="宋体"/>
          <w:color w:val="auto"/>
          <w:szCs w:val="21"/>
        </w:rPr>
        <w:t>12</w:t>
      </w:r>
      <w:r>
        <w:rPr>
          <w:rFonts w:hint="eastAsia" w:ascii="宋体" w:hAnsi="宋体" w:cs="宋体"/>
          <w:color w:val="auto"/>
          <w:szCs w:val="21"/>
        </w:rPr>
        <w:t>个月内任何时间的纳税证明资料复印件和缴交社保证明资料复印件）；</w:t>
      </w:r>
    </w:p>
    <w:p>
      <w:pPr>
        <w:spacing w:line="360" w:lineRule="auto"/>
        <w:ind w:left="621" w:firstLine="16" w:firstLineChars="8"/>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）参加政府采购活动前三年内，在经营活动中没有重大违法记录（按投标文件格式提供的资格声明函格式填写）；</w:t>
      </w:r>
    </w:p>
    <w:p>
      <w:pPr>
        <w:spacing w:line="360" w:lineRule="auto"/>
        <w:ind w:left="525" w:leftChars="250" w:firstLine="42" w:firstLineChars="20"/>
        <w:rPr>
          <w:color w:val="auto"/>
          <w:highlight w:val="none"/>
        </w:rPr>
      </w:pPr>
      <w:r>
        <w:rPr>
          <w:rFonts w:hint="eastAsia" w:ascii="宋体" w:hAnsi="宋体" w:cs="宋体"/>
          <w:color w:val="auto"/>
          <w:szCs w:val="21"/>
        </w:rPr>
        <w:t>（</w:t>
      </w:r>
      <w:r>
        <w:rPr>
          <w:rFonts w:ascii="宋体" w:hAnsi="宋体" w:cs="宋体"/>
          <w:color w:val="auto"/>
          <w:szCs w:val="21"/>
        </w:rPr>
        <w:t>6</w:t>
      </w:r>
      <w:r>
        <w:rPr>
          <w:rFonts w:hint="eastAsia" w:ascii="宋体" w:hAnsi="宋体" w:cs="宋体"/>
          <w:color w:val="auto"/>
          <w:szCs w:val="21"/>
        </w:rPr>
        <w:t>）法律、行政法规规定的其他条件。</w:t>
      </w: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pStyle w:val="53"/>
        <w:ind w:firstLine="241"/>
        <w:rPr>
          <w:rFonts w:ascii="宋体"/>
          <w:b/>
          <w:color w:val="auto"/>
          <w:highlight w:val="none"/>
        </w:rPr>
      </w:pPr>
    </w:p>
    <w:p>
      <w:pPr>
        <w:pStyle w:val="53"/>
        <w:ind w:firstLine="241"/>
        <w:rPr>
          <w:rFonts w:ascii="宋体"/>
          <w:b/>
          <w:color w:val="auto"/>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jc w:val="both"/>
        <w:rPr>
          <w:rFonts w:ascii="宋体"/>
          <w:b/>
          <w:color w:val="auto"/>
          <w:sz w:val="24"/>
          <w:szCs w:val="24"/>
          <w:highlight w:val="none"/>
        </w:rPr>
      </w:pPr>
    </w:p>
    <w:p>
      <w:pPr>
        <w:widowControl w:val="0"/>
        <w:tabs>
          <w:tab w:val="left" w:pos="0"/>
        </w:tabs>
        <w:spacing w:line="440" w:lineRule="exact"/>
        <w:rPr>
          <w:rFonts w:ascii="宋体"/>
          <w:b/>
          <w:color w:val="auto"/>
          <w:sz w:val="24"/>
          <w:szCs w:val="24"/>
          <w:highlight w:val="none"/>
        </w:rPr>
      </w:pPr>
      <w:r>
        <w:rPr>
          <w:rFonts w:hint="eastAsia" w:ascii="宋体" w:hAnsi="宋体"/>
          <w:b/>
          <w:color w:val="auto"/>
          <w:sz w:val="24"/>
          <w:szCs w:val="24"/>
          <w:highlight w:val="none"/>
          <w:lang w:eastAsia="zh-CN"/>
        </w:rPr>
        <w:t>附表：</w:t>
      </w:r>
      <w:r>
        <w:rPr>
          <w:rFonts w:hint="eastAsia" w:ascii="宋体" w:hAnsi="宋体"/>
          <w:b/>
          <w:color w:val="auto"/>
          <w:sz w:val="24"/>
          <w:szCs w:val="24"/>
          <w:highlight w:val="none"/>
        </w:rPr>
        <w:t>投标人具有履行合同所必需的设备和专业技术能力情况</w:t>
      </w:r>
    </w:p>
    <w:p>
      <w:pPr>
        <w:widowControl w:val="0"/>
        <w:tabs>
          <w:tab w:val="left" w:pos="0"/>
        </w:tabs>
        <w:spacing w:line="440" w:lineRule="exact"/>
        <w:jc w:val="center"/>
        <w:rPr>
          <w:rFonts w:ascii="宋体"/>
          <w:b/>
          <w:color w:val="auto"/>
          <w:sz w:val="24"/>
          <w:szCs w:val="24"/>
          <w:highlight w:val="none"/>
        </w:rPr>
      </w:pPr>
    </w:p>
    <w:p>
      <w:pPr>
        <w:tabs>
          <w:tab w:val="left" w:pos="8248"/>
          <w:tab w:val="left" w:pos="9368"/>
        </w:tabs>
        <w:spacing w:line="360" w:lineRule="auto"/>
        <w:rPr>
          <w:rFonts w:ascii="宋体"/>
          <w:color w:val="auto"/>
          <w:highlight w:val="none"/>
        </w:rPr>
      </w:pPr>
      <w:r>
        <w:rPr>
          <w:rFonts w:hint="eastAsia" w:ascii="宋体" w:hAnsi="宋体"/>
          <w:b/>
          <w:color w:val="auto"/>
          <w:highlight w:val="none"/>
        </w:rPr>
        <w:t>一、设备情况</w:t>
      </w:r>
    </w:p>
    <w:tbl>
      <w:tblPr>
        <w:tblStyle w:val="55"/>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160"/>
        <w:gridCol w:w="1866"/>
        <w:gridCol w:w="1897"/>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534" w:type="dxa"/>
            <w:vAlign w:val="center"/>
          </w:tcPr>
          <w:p>
            <w:pPr>
              <w:spacing w:line="360" w:lineRule="auto"/>
              <w:ind w:left="-111" w:leftChars="-53" w:right="-101" w:rightChars="-48"/>
              <w:jc w:val="center"/>
              <w:rPr>
                <w:rFonts w:ascii="宋体"/>
                <w:b/>
                <w:color w:val="auto"/>
                <w:highlight w:val="none"/>
              </w:rPr>
            </w:pPr>
            <w:r>
              <w:rPr>
                <w:rFonts w:hint="eastAsia" w:ascii="宋体" w:hAnsi="宋体"/>
                <w:b/>
                <w:color w:val="auto"/>
                <w:highlight w:val="none"/>
              </w:rPr>
              <w:t>序号</w:t>
            </w:r>
          </w:p>
        </w:tc>
        <w:tc>
          <w:tcPr>
            <w:tcW w:w="3160" w:type="dxa"/>
            <w:vAlign w:val="center"/>
          </w:tcPr>
          <w:p>
            <w:pPr>
              <w:spacing w:line="360" w:lineRule="auto"/>
              <w:jc w:val="center"/>
              <w:rPr>
                <w:rFonts w:ascii="宋体"/>
                <w:b/>
                <w:color w:val="auto"/>
                <w:highlight w:val="none"/>
              </w:rPr>
            </w:pPr>
            <w:r>
              <w:rPr>
                <w:rFonts w:hint="eastAsia" w:ascii="宋体" w:hAnsi="宋体"/>
                <w:b/>
                <w:color w:val="auto"/>
                <w:highlight w:val="none"/>
              </w:rPr>
              <w:t>设备名称</w:t>
            </w:r>
          </w:p>
        </w:tc>
        <w:tc>
          <w:tcPr>
            <w:tcW w:w="1866" w:type="dxa"/>
          </w:tcPr>
          <w:p>
            <w:pPr>
              <w:tabs>
                <w:tab w:val="left" w:pos="384"/>
              </w:tabs>
              <w:spacing w:line="360" w:lineRule="auto"/>
              <w:jc w:val="center"/>
              <w:rPr>
                <w:rFonts w:ascii="宋体"/>
                <w:b/>
                <w:color w:val="auto"/>
                <w:highlight w:val="none"/>
              </w:rPr>
            </w:pPr>
            <w:r>
              <w:rPr>
                <w:rFonts w:hint="eastAsia" w:ascii="宋体" w:hAnsi="宋体"/>
                <w:b/>
                <w:color w:val="auto"/>
                <w:highlight w:val="none"/>
              </w:rPr>
              <w:t>数量</w:t>
            </w:r>
          </w:p>
        </w:tc>
        <w:tc>
          <w:tcPr>
            <w:tcW w:w="1897" w:type="dxa"/>
            <w:vAlign w:val="center"/>
          </w:tcPr>
          <w:p>
            <w:pPr>
              <w:tabs>
                <w:tab w:val="left" w:pos="384"/>
              </w:tabs>
              <w:spacing w:line="360" w:lineRule="auto"/>
              <w:jc w:val="center"/>
              <w:rPr>
                <w:rFonts w:ascii="宋体"/>
                <w:b/>
                <w:color w:val="auto"/>
                <w:highlight w:val="none"/>
              </w:rPr>
            </w:pPr>
            <w:r>
              <w:rPr>
                <w:rFonts w:hint="eastAsia" w:ascii="宋体" w:hAnsi="宋体"/>
                <w:b/>
                <w:color w:val="auto"/>
                <w:highlight w:val="none"/>
              </w:rPr>
              <w:t>运行状况</w:t>
            </w:r>
          </w:p>
        </w:tc>
        <w:tc>
          <w:tcPr>
            <w:tcW w:w="1736" w:type="dxa"/>
            <w:vAlign w:val="center"/>
          </w:tcPr>
          <w:p>
            <w:pPr>
              <w:spacing w:line="360" w:lineRule="auto"/>
              <w:jc w:val="center"/>
              <w:rPr>
                <w:rFonts w:asci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34" w:type="dxa"/>
            <w:vAlign w:val="center"/>
          </w:tcPr>
          <w:p>
            <w:pPr>
              <w:widowControl w:val="0"/>
              <w:numPr>
                <w:ilvl w:val="0"/>
                <w:numId w:val="31"/>
              </w:numPr>
              <w:tabs>
                <w:tab w:val="left" w:pos="142"/>
              </w:tabs>
              <w:spacing w:line="360" w:lineRule="auto"/>
              <w:jc w:val="center"/>
              <w:rPr>
                <w:rFonts w:hAnsi="宋体"/>
                <w:color w:val="auto"/>
                <w:highlight w:val="none"/>
              </w:rPr>
            </w:pPr>
          </w:p>
        </w:tc>
        <w:tc>
          <w:tcPr>
            <w:tcW w:w="3160" w:type="dxa"/>
            <w:vAlign w:val="center"/>
          </w:tcPr>
          <w:p>
            <w:pPr>
              <w:spacing w:line="360" w:lineRule="auto"/>
              <w:jc w:val="center"/>
              <w:rPr>
                <w:rFonts w:ascii="宋体"/>
                <w:color w:val="auto"/>
                <w:highlight w:val="none"/>
              </w:rPr>
            </w:pPr>
          </w:p>
        </w:tc>
        <w:tc>
          <w:tcPr>
            <w:tcW w:w="1866" w:type="dxa"/>
          </w:tcPr>
          <w:p>
            <w:pPr>
              <w:spacing w:line="360" w:lineRule="auto"/>
              <w:jc w:val="center"/>
              <w:rPr>
                <w:rFonts w:ascii="宋体"/>
                <w:color w:val="auto"/>
                <w:highlight w:val="none"/>
              </w:rPr>
            </w:pPr>
          </w:p>
        </w:tc>
        <w:tc>
          <w:tcPr>
            <w:tcW w:w="1897" w:type="dxa"/>
            <w:vAlign w:val="center"/>
          </w:tcPr>
          <w:p>
            <w:pPr>
              <w:spacing w:line="360" w:lineRule="auto"/>
              <w:jc w:val="center"/>
              <w:rPr>
                <w:rFonts w:ascii="宋体"/>
                <w:color w:val="auto"/>
                <w:highlight w:val="none"/>
              </w:rPr>
            </w:pPr>
          </w:p>
        </w:tc>
        <w:tc>
          <w:tcPr>
            <w:tcW w:w="1736" w:type="dxa"/>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34" w:type="dxa"/>
            <w:vAlign w:val="center"/>
          </w:tcPr>
          <w:p>
            <w:pPr>
              <w:widowControl w:val="0"/>
              <w:numPr>
                <w:ilvl w:val="0"/>
                <w:numId w:val="31"/>
              </w:numPr>
              <w:tabs>
                <w:tab w:val="left" w:pos="142"/>
              </w:tabs>
              <w:spacing w:line="360" w:lineRule="auto"/>
              <w:jc w:val="center"/>
              <w:rPr>
                <w:rFonts w:hAnsi="宋体"/>
                <w:color w:val="auto"/>
                <w:highlight w:val="none"/>
              </w:rPr>
            </w:pPr>
          </w:p>
        </w:tc>
        <w:tc>
          <w:tcPr>
            <w:tcW w:w="3160" w:type="dxa"/>
            <w:vAlign w:val="center"/>
          </w:tcPr>
          <w:p>
            <w:pPr>
              <w:spacing w:line="360" w:lineRule="auto"/>
              <w:jc w:val="center"/>
              <w:rPr>
                <w:rFonts w:ascii="宋体"/>
                <w:color w:val="auto"/>
                <w:highlight w:val="none"/>
              </w:rPr>
            </w:pPr>
          </w:p>
        </w:tc>
        <w:tc>
          <w:tcPr>
            <w:tcW w:w="1866" w:type="dxa"/>
          </w:tcPr>
          <w:p>
            <w:pPr>
              <w:spacing w:line="360" w:lineRule="auto"/>
              <w:jc w:val="center"/>
              <w:rPr>
                <w:rFonts w:ascii="宋体"/>
                <w:color w:val="auto"/>
                <w:highlight w:val="none"/>
              </w:rPr>
            </w:pPr>
          </w:p>
        </w:tc>
        <w:tc>
          <w:tcPr>
            <w:tcW w:w="1897" w:type="dxa"/>
            <w:vAlign w:val="center"/>
          </w:tcPr>
          <w:p>
            <w:pPr>
              <w:spacing w:line="360" w:lineRule="auto"/>
              <w:jc w:val="center"/>
              <w:rPr>
                <w:rFonts w:ascii="宋体"/>
                <w:color w:val="auto"/>
                <w:highlight w:val="none"/>
              </w:rPr>
            </w:pPr>
          </w:p>
        </w:tc>
        <w:tc>
          <w:tcPr>
            <w:tcW w:w="1736" w:type="dxa"/>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534" w:type="dxa"/>
            <w:vAlign w:val="center"/>
          </w:tcPr>
          <w:p>
            <w:pPr>
              <w:widowControl w:val="0"/>
              <w:numPr>
                <w:ilvl w:val="0"/>
                <w:numId w:val="31"/>
              </w:numPr>
              <w:tabs>
                <w:tab w:val="left" w:pos="142"/>
              </w:tabs>
              <w:spacing w:line="360" w:lineRule="auto"/>
              <w:jc w:val="center"/>
              <w:rPr>
                <w:rFonts w:hAnsi="宋体"/>
                <w:color w:val="auto"/>
                <w:highlight w:val="none"/>
              </w:rPr>
            </w:pPr>
          </w:p>
        </w:tc>
        <w:tc>
          <w:tcPr>
            <w:tcW w:w="3160" w:type="dxa"/>
            <w:vAlign w:val="center"/>
          </w:tcPr>
          <w:p>
            <w:pPr>
              <w:spacing w:line="360" w:lineRule="auto"/>
              <w:jc w:val="center"/>
              <w:rPr>
                <w:rFonts w:ascii="宋体"/>
                <w:color w:val="auto"/>
                <w:highlight w:val="none"/>
              </w:rPr>
            </w:pPr>
          </w:p>
        </w:tc>
        <w:tc>
          <w:tcPr>
            <w:tcW w:w="1866" w:type="dxa"/>
          </w:tcPr>
          <w:p>
            <w:pPr>
              <w:spacing w:line="360" w:lineRule="auto"/>
              <w:jc w:val="center"/>
              <w:rPr>
                <w:rFonts w:ascii="宋体"/>
                <w:color w:val="auto"/>
                <w:highlight w:val="none"/>
              </w:rPr>
            </w:pPr>
          </w:p>
        </w:tc>
        <w:tc>
          <w:tcPr>
            <w:tcW w:w="1897" w:type="dxa"/>
            <w:vAlign w:val="center"/>
          </w:tcPr>
          <w:p>
            <w:pPr>
              <w:spacing w:line="360" w:lineRule="auto"/>
              <w:jc w:val="center"/>
              <w:rPr>
                <w:rFonts w:ascii="宋体"/>
                <w:color w:val="auto"/>
                <w:highlight w:val="none"/>
              </w:rPr>
            </w:pPr>
          </w:p>
        </w:tc>
        <w:tc>
          <w:tcPr>
            <w:tcW w:w="1736" w:type="dxa"/>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534" w:type="dxa"/>
            <w:vAlign w:val="center"/>
          </w:tcPr>
          <w:p>
            <w:pPr>
              <w:widowControl w:val="0"/>
              <w:numPr>
                <w:ilvl w:val="0"/>
                <w:numId w:val="31"/>
              </w:numPr>
              <w:tabs>
                <w:tab w:val="left" w:pos="142"/>
              </w:tabs>
              <w:spacing w:line="360" w:lineRule="auto"/>
              <w:jc w:val="center"/>
              <w:rPr>
                <w:rFonts w:hAnsi="宋体"/>
                <w:color w:val="auto"/>
                <w:highlight w:val="none"/>
              </w:rPr>
            </w:pPr>
          </w:p>
        </w:tc>
        <w:tc>
          <w:tcPr>
            <w:tcW w:w="3160" w:type="dxa"/>
            <w:vAlign w:val="center"/>
          </w:tcPr>
          <w:p>
            <w:pPr>
              <w:spacing w:line="360" w:lineRule="auto"/>
              <w:jc w:val="center"/>
              <w:rPr>
                <w:rFonts w:ascii="宋体"/>
                <w:color w:val="auto"/>
                <w:highlight w:val="none"/>
              </w:rPr>
            </w:pPr>
          </w:p>
        </w:tc>
        <w:tc>
          <w:tcPr>
            <w:tcW w:w="1866" w:type="dxa"/>
          </w:tcPr>
          <w:p>
            <w:pPr>
              <w:spacing w:line="360" w:lineRule="auto"/>
              <w:jc w:val="center"/>
              <w:rPr>
                <w:rFonts w:ascii="宋体"/>
                <w:color w:val="auto"/>
                <w:highlight w:val="none"/>
              </w:rPr>
            </w:pPr>
          </w:p>
        </w:tc>
        <w:tc>
          <w:tcPr>
            <w:tcW w:w="1897" w:type="dxa"/>
            <w:vAlign w:val="center"/>
          </w:tcPr>
          <w:p>
            <w:pPr>
              <w:spacing w:line="360" w:lineRule="auto"/>
              <w:jc w:val="center"/>
              <w:rPr>
                <w:rFonts w:ascii="宋体"/>
                <w:color w:val="auto"/>
                <w:highlight w:val="none"/>
              </w:rPr>
            </w:pPr>
          </w:p>
        </w:tc>
        <w:tc>
          <w:tcPr>
            <w:tcW w:w="1736" w:type="dxa"/>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34" w:type="dxa"/>
            <w:vAlign w:val="center"/>
          </w:tcPr>
          <w:p>
            <w:pPr>
              <w:widowControl w:val="0"/>
              <w:numPr>
                <w:ilvl w:val="0"/>
                <w:numId w:val="31"/>
              </w:numPr>
              <w:tabs>
                <w:tab w:val="left" w:pos="142"/>
              </w:tabs>
              <w:spacing w:line="360" w:lineRule="auto"/>
              <w:jc w:val="center"/>
              <w:rPr>
                <w:rFonts w:hAnsi="宋体"/>
                <w:color w:val="auto"/>
                <w:highlight w:val="none"/>
              </w:rPr>
            </w:pPr>
          </w:p>
        </w:tc>
        <w:tc>
          <w:tcPr>
            <w:tcW w:w="3160" w:type="dxa"/>
            <w:vAlign w:val="center"/>
          </w:tcPr>
          <w:p>
            <w:pPr>
              <w:spacing w:line="360" w:lineRule="auto"/>
              <w:jc w:val="center"/>
              <w:rPr>
                <w:rFonts w:ascii="宋体"/>
                <w:color w:val="auto"/>
                <w:highlight w:val="none"/>
              </w:rPr>
            </w:pPr>
          </w:p>
        </w:tc>
        <w:tc>
          <w:tcPr>
            <w:tcW w:w="1866" w:type="dxa"/>
          </w:tcPr>
          <w:p>
            <w:pPr>
              <w:spacing w:line="360" w:lineRule="auto"/>
              <w:jc w:val="center"/>
              <w:rPr>
                <w:rFonts w:ascii="宋体"/>
                <w:color w:val="auto"/>
                <w:highlight w:val="none"/>
              </w:rPr>
            </w:pPr>
          </w:p>
        </w:tc>
        <w:tc>
          <w:tcPr>
            <w:tcW w:w="1897" w:type="dxa"/>
            <w:vAlign w:val="center"/>
          </w:tcPr>
          <w:p>
            <w:pPr>
              <w:spacing w:line="360" w:lineRule="auto"/>
              <w:jc w:val="center"/>
              <w:rPr>
                <w:rFonts w:ascii="宋体"/>
                <w:color w:val="auto"/>
                <w:highlight w:val="none"/>
              </w:rPr>
            </w:pPr>
          </w:p>
        </w:tc>
        <w:tc>
          <w:tcPr>
            <w:tcW w:w="1736" w:type="dxa"/>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34" w:type="dxa"/>
            <w:vAlign w:val="center"/>
          </w:tcPr>
          <w:p>
            <w:pPr>
              <w:widowControl w:val="0"/>
              <w:numPr>
                <w:ilvl w:val="0"/>
                <w:numId w:val="31"/>
              </w:numPr>
              <w:tabs>
                <w:tab w:val="left" w:pos="142"/>
              </w:tabs>
              <w:spacing w:line="360" w:lineRule="auto"/>
              <w:jc w:val="center"/>
              <w:rPr>
                <w:rFonts w:hAnsi="宋体"/>
                <w:color w:val="auto"/>
                <w:highlight w:val="none"/>
              </w:rPr>
            </w:pPr>
          </w:p>
        </w:tc>
        <w:tc>
          <w:tcPr>
            <w:tcW w:w="3160" w:type="dxa"/>
            <w:vAlign w:val="center"/>
          </w:tcPr>
          <w:p>
            <w:pPr>
              <w:spacing w:line="360" w:lineRule="auto"/>
              <w:jc w:val="center"/>
              <w:rPr>
                <w:rFonts w:ascii="宋体"/>
                <w:color w:val="auto"/>
                <w:highlight w:val="none"/>
              </w:rPr>
            </w:pPr>
          </w:p>
        </w:tc>
        <w:tc>
          <w:tcPr>
            <w:tcW w:w="1866" w:type="dxa"/>
          </w:tcPr>
          <w:p>
            <w:pPr>
              <w:spacing w:line="360" w:lineRule="auto"/>
              <w:jc w:val="center"/>
              <w:rPr>
                <w:rFonts w:ascii="宋体"/>
                <w:color w:val="auto"/>
                <w:highlight w:val="none"/>
              </w:rPr>
            </w:pPr>
          </w:p>
        </w:tc>
        <w:tc>
          <w:tcPr>
            <w:tcW w:w="1897" w:type="dxa"/>
            <w:vAlign w:val="center"/>
          </w:tcPr>
          <w:p>
            <w:pPr>
              <w:spacing w:line="360" w:lineRule="auto"/>
              <w:jc w:val="center"/>
              <w:rPr>
                <w:rFonts w:ascii="宋体"/>
                <w:color w:val="auto"/>
                <w:highlight w:val="none"/>
              </w:rPr>
            </w:pPr>
          </w:p>
        </w:tc>
        <w:tc>
          <w:tcPr>
            <w:tcW w:w="1736" w:type="dxa"/>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34" w:type="dxa"/>
            <w:vAlign w:val="center"/>
          </w:tcPr>
          <w:p>
            <w:pPr>
              <w:widowControl w:val="0"/>
              <w:numPr>
                <w:ilvl w:val="0"/>
                <w:numId w:val="31"/>
              </w:numPr>
              <w:tabs>
                <w:tab w:val="left" w:pos="142"/>
              </w:tabs>
              <w:spacing w:line="360" w:lineRule="auto"/>
              <w:jc w:val="center"/>
              <w:rPr>
                <w:rFonts w:hAnsi="宋体"/>
                <w:color w:val="auto"/>
                <w:highlight w:val="none"/>
              </w:rPr>
            </w:pPr>
          </w:p>
        </w:tc>
        <w:tc>
          <w:tcPr>
            <w:tcW w:w="3160" w:type="dxa"/>
            <w:vAlign w:val="center"/>
          </w:tcPr>
          <w:p>
            <w:pPr>
              <w:spacing w:line="360" w:lineRule="auto"/>
              <w:jc w:val="center"/>
              <w:rPr>
                <w:rFonts w:ascii="宋体"/>
                <w:color w:val="auto"/>
                <w:highlight w:val="none"/>
              </w:rPr>
            </w:pPr>
          </w:p>
        </w:tc>
        <w:tc>
          <w:tcPr>
            <w:tcW w:w="1866" w:type="dxa"/>
          </w:tcPr>
          <w:p>
            <w:pPr>
              <w:spacing w:line="360" w:lineRule="auto"/>
              <w:jc w:val="center"/>
              <w:rPr>
                <w:rFonts w:ascii="宋体"/>
                <w:color w:val="auto"/>
                <w:highlight w:val="none"/>
              </w:rPr>
            </w:pPr>
          </w:p>
        </w:tc>
        <w:tc>
          <w:tcPr>
            <w:tcW w:w="1897" w:type="dxa"/>
            <w:vAlign w:val="center"/>
          </w:tcPr>
          <w:p>
            <w:pPr>
              <w:spacing w:line="360" w:lineRule="auto"/>
              <w:jc w:val="center"/>
              <w:rPr>
                <w:rFonts w:ascii="宋体"/>
                <w:color w:val="auto"/>
                <w:highlight w:val="none"/>
              </w:rPr>
            </w:pPr>
          </w:p>
        </w:tc>
        <w:tc>
          <w:tcPr>
            <w:tcW w:w="1736" w:type="dxa"/>
          </w:tcPr>
          <w:p>
            <w:pPr>
              <w:spacing w:line="360" w:lineRule="auto"/>
              <w:rPr>
                <w:rFonts w:ascii="宋体"/>
                <w:color w:val="auto"/>
                <w:highlight w:val="none"/>
              </w:rPr>
            </w:pPr>
          </w:p>
        </w:tc>
      </w:tr>
    </w:tbl>
    <w:p>
      <w:pPr>
        <w:autoSpaceDE w:val="0"/>
        <w:autoSpaceDN w:val="0"/>
        <w:adjustRightInd w:val="0"/>
        <w:spacing w:line="360" w:lineRule="auto"/>
        <w:rPr>
          <w:rFonts w:ascii="宋体"/>
          <w:color w:val="auto"/>
          <w:highlight w:val="none"/>
        </w:rPr>
      </w:pPr>
    </w:p>
    <w:p>
      <w:pPr>
        <w:autoSpaceDE w:val="0"/>
        <w:autoSpaceDN w:val="0"/>
        <w:adjustRightInd w:val="0"/>
        <w:spacing w:line="360" w:lineRule="auto"/>
        <w:rPr>
          <w:rFonts w:ascii="宋体"/>
          <w:color w:val="auto"/>
          <w:highlight w:val="none"/>
        </w:rPr>
      </w:pPr>
      <w:r>
        <w:rPr>
          <w:rFonts w:hint="eastAsia" w:ascii="宋体" w:hAnsi="宋体"/>
          <w:b/>
          <w:bCs/>
          <w:color w:val="auto"/>
          <w:szCs w:val="21"/>
          <w:highlight w:val="none"/>
        </w:rPr>
        <w:t>二、专业技术能力情况：</w:t>
      </w:r>
    </w:p>
    <w:tbl>
      <w:tblPr>
        <w:tblStyle w:val="55"/>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2152"/>
        <w:gridCol w:w="2922"/>
        <w:gridCol w:w="1844"/>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557" w:type="dxa"/>
            <w:vAlign w:val="center"/>
          </w:tcPr>
          <w:p>
            <w:pPr>
              <w:spacing w:line="360" w:lineRule="auto"/>
              <w:ind w:left="-111" w:leftChars="-53" w:right="-101" w:rightChars="-48"/>
              <w:jc w:val="center"/>
              <w:rPr>
                <w:rFonts w:ascii="宋体"/>
                <w:b/>
                <w:color w:val="auto"/>
                <w:highlight w:val="none"/>
              </w:rPr>
            </w:pPr>
            <w:r>
              <w:rPr>
                <w:rFonts w:hint="eastAsia" w:ascii="宋体" w:hAnsi="宋体"/>
                <w:b/>
                <w:color w:val="auto"/>
                <w:highlight w:val="none"/>
              </w:rPr>
              <w:t>序号</w:t>
            </w:r>
          </w:p>
        </w:tc>
        <w:tc>
          <w:tcPr>
            <w:tcW w:w="2152" w:type="dxa"/>
            <w:vAlign w:val="center"/>
          </w:tcPr>
          <w:p>
            <w:pPr>
              <w:spacing w:line="360" w:lineRule="auto"/>
              <w:jc w:val="center"/>
              <w:rPr>
                <w:rFonts w:ascii="宋体"/>
                <w:b/>
                <w:color w:val="auto"/>
                <w:highlight w:val="none"/>
              </w:rPr>
            </w:pPr>
            <w:r>
              <w:rPr>
                <w:rFonts w:hint="eastAsia" w:ascii="宋体" w:hAnsi="宋体"/>
                <w:b/>
                <w:color w:val="auto"/>
                <w:highlight w:val="none"/>
              </w:rPr>
              <w:t>人员姓名</w:t>
            </w:r>
          </w:p>
        </w:tc>
        <w:tc>
          <w:tcPr>
            <w:tcW w:w="2922" w:type="dxa"/>
            <w:vAlign w:val="center"/>
          </w:tcPr>
          <w:p>
            <w:pPr>
              <w:spacing w:line="360" w:lineRule="auto"/>
              <w:jc w:val="center"/>
              <w:rPr>
                <w:rFonts w:ascii="宋体"/>
                <w:b/>
                <w:color w:val="auto"/>
                <w:highlight w:val="none"/>
              </w:rPr>
            </w:pPr>
            <w:r>
              <w:rPr>
                <w:rFonts w:hint="eastAsia" w:ascii="宋体" w:hAnsi="宋体"/>
                <w:b/>
                <w:color w:val="auto"/>
                <w:highlight w:val="none"/>
              </w:rPr>
              <w:t>身份证号</w:t>
            </w:r>
          </w:p>
        </w:tc>
        <w:tc>
          <w:tcPr>
            <w:tcW w:w="1844" w:type="dxa"/>
            <w:vAlign w:val="center"/>
          </w:tcPr>
          <w:p>
            <w:pPr>
              <w:spacing w:line="360" w:lineRule="auto"/>
              <w:jc w:val="center"/>
              <w:rPr>
                <w:rFonts w:ascii="宋体"/>
                <w:b/>
                <w:color w:val="auto"/>
                <w:highlight w:val="none"/>
              </w:rPr>
            </w:pPr>
            <w:r>
              <w:rPr>
                <w:rFonts w:hint="eastAsia" w:ascii="宋体" w:hAnsi="宋体"/>
                <w:b/>
                <w:color w:val="auto"/>
                <w:highlight w:val="none"/>
              </w:rPr>
              <w:t>岗位</w:t>
            </w:r>
          </w:p>
        </w:tc>
        <w:tc>
          <w:tcPr>
            <w:tcW w:w="1689" w:type="dxa"/>
            <w:vAlign w:val="center"/>
          </w:tcPr>
          <w:p>
            <w:pPr>
              <w:spacing w:line="360" w:lineRule="auto"/>
              <w:jc w:val="center"/>
              <w:rPr>
                <w:rFonts w:asci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557" w:type="dxa"/>
            <w:vAlign w:val="center"/>
          </w:tcPr>
          <w:p>
            <w:pPr>
              <w:widowControl w:val="0"/>
              <w:numPr>
                <w:ilvl w:val="0"/>
                <w:numId w:val="32"/>
              </w:numPr>
              <w:tabs>
                <w:tab w:val="left" w:pos="142"/>
              </w:tabs>
              <w:spacing w:line="360" w:lineRule="auto"/>
              <w:jc w:val="center"/>
              <w:rPr>
                <w:rFonts w:ascii="宋体"/>
                <w:color w:val="auto"/>
                <w:highlight w:val="none"/>
              </w:rPr>
            </w:pPr>
          </w:p>
        </w:tc>
        <w:tc>
          <w:tcPr>
            <w:tcW w:w="2152" w:type="dxa"/>
            <w:vAlign w:val="center"/>
          </w:tcPr>
          <w:p>
            <w:pPr>
              <w:spacing w:line="360" w:lineRule="auto"/>
              <w:jc w:val="center"/>
              <w:rPr>
                <w:rFonts w:ascii="宋体"/>
                <w:color w:val="auto"/>
                <w:highlight w:val="none"/>
              </w:rPr>
            </w:pPr>
          </w:p>
        </w:tc>
        <w:tc>
          <w:tcPr>
            <w:tcW w:w="2922" w:type="dxa"/>
            <w:vAlign w:val="center"/>
          </w:tcPr>
          <w:p>
            <w:pPr>
              <w:spacing w:line="360" w:lineRule="auto"/>
              <w:jc w:val="center"/>
              <w:rPr>
                <w:rFonts w:ascii="宋体"/>
                <w:color w:val="auto"/>
                <w:highlight w:val="none"/>
              </w:rPr>
            </w:pPr>
          </w:p>
        </w:tc>
        <w:tc>
          <w:tcPr>
            <w:tcW w:w="1844" w:type="dxa"/>
            <w:vAlign w:val="center"/>
          </w:tcPr>
          <w:p>
            <w:pPr>
              <w:spacing w:line="360" w:lineRule="auto"/>
              <w:jc w:val="center"/>
              <w:rPr>
                <w:rFonts w:ascii="宋体"/>
                <w:color w:val="auto"/>
                <w:highlight w:val="none"/>
              </w:rPr>
            </w:pPr>
          </w:p>
        </w:tc>
        <w:tc>
          <w:tcPr>
            <w:tcW w:w="1689" w:type="dxa"/>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557" w:type="dxa"/>
            <w:vAlign w:val="center"/>
          </w:tcPr>
          <w:p>
            <w:pPr>
              <w:widowControl w:val="0"/>
              <w:numPr>
                <w:ilvl w:val="0"/>
                <w:numId w:val="32"/>
              </w:numPr>
              <w:tabs>
                <w:tab w:val="left" w:pos="142"/>
              </w:tabs>
              <w:spacing w:line="360" w:lineRule="auto"/>
              <w:jc w:val="center"/>
              <w:rPr>
                <w:rFonts w:ascii="宋体"/>
                <w:color w:val="auto"/>
                <w:highlight w:val="none"/>
              </w:rPr>
            </w:pPr>
          </w:p>
        </w:tc>
        <w:tc>
          <w:tcPr>
            <w:tcW w:w="2152" w:type="dxa"/>
            <w:vAlign w:val="center"/>
          </w:tcPr>
          <w:p>
            <w:pPr>
              <w:spacing w:line="360" w:lineRule="auto"/>
              <w:jc w:val="center"/>
              <w:rPr>
                <w:rFonts w:ascii="宋体"/>
                <w:color w:val="auto"/>
                <w:highlight w:val="none"/>
              </w:rPr>
            </w:pPr>
          </w:p>
        </w:tc>
        <w:tc>
          <w:tcPr>
            <w:tcW w:w="2922" w:type="dxa"/>
            <w:vAlign w:val="center"/>
          </w:tcPr>
          <w:p>
            <w:pPr>
              <w:spacing w:line="360" w:lineRule="auto"/>
              <w:jc w:val="center"/>
              <w:rPr>
                <w:rFonts w:ascii="宋体"/>
                <w:color w:val="auto"/>
                <w:highlight w:val="none"/>
              </w:rPr>
            </w:pPr>
          </w:p>
        </w:tc>
        <w:tc>
          <w:tcPr>
            <w:tcW w:w="1844" w:type="dxa"/>
            <w:vAlign w:val="center"/>
          </w:tcPr>
          <w:p>
            <w:pPr>
              <w:spacing w:line="360" w:lineRule="auto"/>
              <w:jc w:val="center"/>
              <w:rPr>
                <w:rFonts w:ascii="宋体"/>
                <w:color w:val="auto"/>
                <w:highlight w:val="none"/>
              </w:rPr>
            </w:pPr>
          </w:p>
        </w:tc>
        <w:tc>
          <w:tcPr>
            <w:tcW w:w="1689" w:type="dxa"/>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557" w:type="dxa"/>
            <w:vAlign w:val="center"/>
          </w:tcPr>
          <w:p>
            <w:pPr>
              <w:widowControl w:val="0"/>
              <w:numPr>
                <w:ilvl w:val="0"/>
                <w:numId w:val="32"/>
              </w:numPr>
              <w:tabs>
                <w:tab w:val="left" w:pos="142"/>
              </w:tabs>
              <w:spacing w:line="360" w:lineRule="auto"/>
              <w:jc w:val="center"/>
              <w:rPr>
                <w:rFonts w:ascii="宋体"/>
                <w:color w:val="auto"/>
                <w:highlight w:val="none"/>
              </w:rPr>
            </w:pPr>
          </w:p>
        </w:tc>
        <w:tc>
          <w:tcPr>
            <w:tcW w:w="2152" w:type="dxa"/>
            <w:vAlign w:val="center"/>
          </w:tcPr>
          <w:p>
            <w:pPr>
              <w:spacing w:line="360" w:lineRule="auto"/>
              <w:jc w:val="center"/>
              <w:rPr>
                <w:rFonts w:ascii="宋体"/>
                <w:color w:val="auto"/>
                <w:highlight w:val="none"/>
              </w:rPr>
            </w:pPr>
          </w:p>
        </w:tc>
        <w:tc>
          <w:tcPr>
            <w:tcW w:w="2922" w:type="dxa"/>
            <w:vAlign w:val="center"/>
          </w:tcPr>
          <w:p>
            <w:pPr>
              <w:spacing w:line="360" w:lineRule="auto"/>
              <w:jc w:val="center"/>
              <w:rPr>
                <w:rFonts w:ascii="宋体"/>
                <w:color w:val="auto"/>
                <w:highlight w:val="none"/>
              </w:rPr>
            </w:pPr>
          </w:p>
        </w:tc>
        <w:tc>
          <w:tcPr>
            <w:tcW w:w="1844" w:type="dxa"/>
            <w:vAlign w:val="center"/>
          </w:tcPr>
          <w:p>
            <w:pPr>
              <w:spacing w:line="360" w:lineRule="auto"/>
              <w:jc w:val="center"/>
              <w:rPr>
                <w:rFonts w:ascii="宋体"/>
                <w:color w:val="auto"/>
                <w:highlight w:val="none"/>
              </w:rPr>
            </w:pPr>
          </w:p>
        </w:tc>
        <w:tc>
          <w:tcPr>
            <w:tcW w:w="1689" w:type="dxa"/>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557" w:type="dxa"/>
            <w:vAlign w:val="center"/>
          </w:tcPr>
          <w:p>
            <w:pPr>
              <w:widowControl w:val="0"/>
              <w:numPr>
                <w:ilvl w:val="0"/>
                <w:numId w:val="32"/>
              </w:numPr>
              <w:tabs>
                <w:tab w:val="left" w:pos="142"/>
              </w:tabs>
              <w:spacing w:line="360" w:lineRule="auto"/>
              <w:jc w:val="center"/>
              <w:rPr>
                <w:rFonts w:ascii="宋体"/>
                <w:color w:val="auto"/>
                <w:highlight w:val="none"/>
              </w:rPr>
            </w:pPr>
          </w:p>
        </w:tc>
        <w:tc>
          <w:tcPr>
            <w:tcW w:w="2152" w:type="dxa"/>
            <w:vAlign w:val="center"/>
          </w:tcPr>
          <w:p>
            <w:pPr>
              <w:spacing w:line="360" w:lineRule="auto"/>
              <w:jc w:val="center"/>
              <w:rPr>
                <w:rFonts w:ascii="宋体"/>
                <w:color w:val="auto"/>
                <w:highlight w:val="none"/>
              </w:rPr>
            </w:pPr>
          </w:p>
        </w:tc>
        <w:tc>
          <w:tcPr>
            <w:tcW w:w="2922" w:type="dxa"/>
            <w:vAlign w:val="center"/>
          </w:tcPr>
          <w:p>
            <w:pPr>
              <w:spacing w:line="360" w:lineRule="auto"/>
              <w:jc w:val="center"/>
              <w:rPr>
                <w:rFonts w:ascii="宋体"/>
                <w:color w:val="auto"/>
                <w:highlight w:val="none"/>
              </w:rPr>
            </w:pPr>
          </w:p>
        </w:tc>
        <w:tc>
          <w:tcPr>
            <w:tcW w:w="1844" w:type="dxa"/>
            <w:vAlign w:val="center"/>
          </w:tcPr>
          <w:p>
            <w:pPr>
              <w:spacing w:line="360" w:lineRule="auto"/>
              <w:jc w:val="center"/>
              <w:rPr>
                <w:rFonts w:ascii="宋体"/>
                <w:color w:val="auto"/>
                <w:highlight w:val="none"/>
              </w:rPr>
            </w:pPr>
          </w:p>
        </w:tc>
        <w:tc>
          <w:tcPr>
            <w:tcW w:w="1689" w:type="dxa"/>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557" w:type="dxa"/>
            <w:vAlign w:val="center"/>
          </w:tcPr>
          <w:p>
            <w:pPr>
              <w:widowControl w:val="0"/>
              <w:numPr>
                <w:ilvl w:val="0"/>
                <w:numId w:val="32"/>
              </w:numPr>
              <w:tabs>
                <w:tab w:val="left" w:pos="142"/>
              </w:tabs>
              <w:spacing w:line="360" w:lineRule="auto"/>
              <w:jc w:val="center"/>
              <w:rPr>
                <w:rFonts w:ascii="宋体"/>
                <w:color w:val="auto"/>
                <w:highlight w:val="none"/>
              </w:rPr>
            </w:pPr>
          </w:p>
        </w:tc>
        <w:tc>
          <w:tcPr>
            <w:tcW w:w="2152" w:type="dxa"/>
            <w:vAlign w:val="center"/>
          </w:tcPr>
          <w:p>
            <w:pPr>
              <w:spacing w:line="360" w:lineRule="auto"/>
              <w:jc w:val="center"/>
              <w:rPr>
                <w:rFonts w:ascii="宋体"/>
                <w:color w:val="auto"/>
                <w:highlight w:val="none"/>
              </w:rPr>
            </w:pPr>
          </w:p>
        </w:tc>
        <w:tc>
          <w:tcPr>
            <w:tcW w:w="2922" w:type="dxa"/>
            <w:vAlign w:val="center"/>
          </w:tcPr>
          <w:p>
            <w:pPr>
              <w:spacing w:line="360" w:lineRule="auto"/>
              <w:jc w:val="center"/>
              <w:rPr>
                <w:rFonts w:ascii="宋体"/>
                <w:color w:val="auto"/>
                <w:highlight w:val="none"/>
              </w:rPr>
            </w:pPr>
          </w:p>
        </w:tc>
        <w:tc>
          <w:tcPr>
            <w:tcW w:w="1844" w:type="dxa"/>
            <w:vAlign w:val="center"/>
          </w:tcPr>
          <w:p>
            <w:pPr>
              <w:spacing w:line="360" w:lineRule="auto"/>
              <w:jc w:val="center"/>
              <w:rPr>
                <w:rFonts w:ascii="宋体"/>
                <w:color w:val="auto"/>
                <w:highlight w:val="none"/>
              </w:rPr>
            </w:pPr>
          </w:p>
        </w:tc>
        <w:tc>
          <w:tcPr>
            <w:tcW w:w="1689" w:type="dxa"/>
            <w:vAlign w:val="center"/>
          </w:tcPr>
          <w:p>
            <w:pPr>
              <w:spacing w:line="360" w:lineRule="auto"/>
              <w:jc w:val="center"/>
              <w:rPr>
                <w:rFonts w:ascii="宋体"/>
                <w:color w:val="auto"/>
                <w:highlight w:val="none"/>
              </w:rPr>
            </w:pPr>
          </w:p>
        </w:tc>
      </w:tr>
    </w:tbl>
    <w:p>
      <w:pPr>
        <w:spacing w:line="500" w:lineRule="exact"/>
        <w:ind w:firstLine="420" w:firstLineChars="200"/>
        <w:rPr>
          <w:rFonts w:ascii="宋体"/>
          <w:color w:val="auto"/>
          <w:szCs w:val="21"/>
          <w:highlight w:val="none"/>
        </w:rPr>
      </w:pPr>
      <w:r>
        <w:rPr>
          <w:rFonts w:hint="eastAsia" w:ascii="宋体" w:hAnsi="宋体"/>
          <w:color w:val="auto"/>
          <w:szCs w:val="21"/>
          <w:highlight w:val="none"/>
        </w:rPr>
        <w:t>备注：提供设备的清单以及技术人员的名单材料复印件作为证明材料。</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投标人名称（公章）：</w:t>
      </w:r>
    </w:p>
    <w:p>
      <w:pPr>
        <w:spacing w:line="360" w:lineRule="auto"/>
        <w:rPr>
          <w:rFonts w:ascii="宋体" w:cs="宋体"/>
          <w:color w:val="auto"/>
          <w:szCs w:val="21"/>
          <w:highlight w:val="none"/>
        </w:rPr>
      </w:pPr>
      <w:r>
        <w:rPr>
          <w:rFonts w:hint="eastAsia" w:ascii="宋体" w:hAnsi="宋体" w:cs="宋体"/>
          <w:color w:val="auto"/>
          <w:szCs w:val="21"/>
          <w:highlight w:val="none"/>
        </w:rPr>
        <w:t>投标人法定代表人（或法定代表人授权代表）签名：</w:t>
      </w:r>
    </w:p>
    <w:p>
      <w:pPr>
        <w:spacing w:line="360" w:lineRule="auto"/>
        <w:rPr>
          <w:rFonts w:ascii="宋体" w:cs="宋体"/>
          <w:color w:val="auto"/>
          <w:szCs w:val="21"/>
          <w:highlight w:val="none"/>
        </w:rPr>
      </w:pPr>
      <w:r>
        <w:rPr>
          <w:rFonts w:hint="eastAsia" w:ascii="宋体" w:hAnsi="宋体" w:cs="宋体"/>
          <w:color w:val="auto"/>
          <w:szCs w:val="21"/>
          <w:highlight w:val="none"/>
        </w:rPr>
        <w:t>日期：年月日</w:t>
      </w:r>
    </w:p>
    <w:p>
      <w:pPr>
        <w:widowControl w:val="0"/>
        <w:tabs>
          <w:tab w:val="left" w:pos="0"/>
        </w:tabs>
        <w:spacing w:line="440" w:lineRule="exact"/>
        <w:jc w:val="both"/>
        <w:rPr>
          <w:rFonts w:ascii="宋体"/>
          <w:color w:val="auto"/>
          <w:szCs w:val="21"/>
          <w:highlight w:val="none"/>
        </w:rPr>
      </w:pPr>
    </w:p>
    <w:p>
      <w:pPr>
        <w:widowControl w:val="0"/>
        <w:numPr>
          <w:ilvl w:val="0"/>
          <w:numId w:val="33"/>
        </w:numPr>
        <w:tabs>
          <w:tab w:val="left" w:pos="0"/>
          <w:tab w:val="clear" w:pos="425"/>
        </w:tabs>
        <w:spacing w:line="440" w:lineRule="exact"/>
        <w:ind w:left="5" w:hanging="5"/>
        <w:jc w:val="both"/>
        <w:rPr>
          <w:rFonts w:ascii="宋体"/>
          <w:color w:val="auto"/>
          <w:szCs w:val="21"/>
          <w:highlight w:val="none"/>
        </w:rPr>
      </w:pPr>
      <w:r>
        <w:rPr>
          <w:rFonts w:ascii="宋体"/>
          <w:color w:val="auto"/>
          <w:szCs w:val="21"/>
          <w:highlight w:val="none"/>
        </w:rPr>
        <w:br w:type="page"/>
      </w:r>
    </w:p>
    <w:p>
      <w:pPr>
        <w:widowControl w:val="0"/>
        <w:numPr>
          <w:ilvl w:val="0"/>
          <w:numId w:val="0"/>
        </w:numPr>
        <w:snapToGrid w:val="0"/>
        <w:spacing w:line="360" w:lineRule="auto"/>
        <w:ind w:leftChars="0"/>
        <w:jc w:val="both"/>
        <w:rPr>
          <w:rFonts w:hint="eastAsia" w:ascii="宋体" w:hAnsi="宋体"/>
          <w:b/>
          <w:color w:val="auto"/>
          <w:szCs w:val="21"/>
          <w:highlight w:val="none"/>
        </w:rPr>
      </w:pPr>
      <w:r>
        <w:rPr>
          <w:rFonts w:hint="eastAsia" w:ascii="宋体" w:hAnsi="宋体"/>
          <w:b/>
          <w:color w:val="auto"/>
          <w:szCs w:val="21"/>
          <w:highlight w:val="none"/>
          <w:lang w:val="en-US" w:eastAsia="zh-CN"/>
        </w:rPr>
        <w:t>2.2</w:t>
      </w:r>
      <w:r>
        <w:rPr>
          <w:rFonts w:hint="eastAsia" w:ascii="宋体" w:hAnsi="宋体"/>
          <w:b/>
          <w:color w:val="auto"/>
          <w:szCs w:val="21"/>
          <w:highlight w:val="none"/>
        </w:rPr>
        <w:t>建筑机电安装工程专业承包三级或以上资质，并具有有效期内安全生产许可证（须提供资质证书复印件并加盖公章，开标当天投标截止时间前提供原件核查，无原件视为无效投标）；</w:t>
      </w:r>
    </w:p>
    <w:p>
      <w:pPr>
        <w:widowControl w:val="0"/>
        <w:numPr>
          <w:ilvl w:val="0"/>
          <w:numId w:val="0"/>
        </w:numPr>
        <w:snapToGrid w:val="0"/>
        <w:spacing w:line="360" w:lineRule="auto"/>
        <w:ind w:leftChars="0"/>
        <w:jc w:val="both"/>
        <w:rPr>
          <w:rFonts w:hint="eastAsia" w:ascii="宋体" w:hAnsi="宋体"/>
          <w:b/>
          <w:color w:val="auto"/>
          <w:szCs w:val="21"/>
          <w:highlight w:val="none"/>
          <w:lang w:val="en-US" w:eastAsia="zh-CN"/>
        </w:rPr>
      </w:pPr>
    </w:p>
    <w:p>
      <w:pPr>
        <w:widowControl w:val="0"/>
        <w:numPr>
          <w:ilvl w:val="0"/>
          <w:numId w:val="0"/>
        </w:numPr>
        <w:snapToGrid w:val="0"/>
        <w:spacing w:line="360" w:lineRule="auto"/>
        <w:ind w:leftChars="0"/>
        <w:jc w:val="both"/>
        <w:rPr>
          <w:rFonts w:hint="eastAsia" w:ascii="宋体" w:hAnsi="宋体"/>
          <w:b/>
          <w:color w:val="auto"/>
          <w:szCs w:val="21"/>
          <w:highlight w:val="none"/>
        </w:rPr>
      </w:pPr>
      <w:r>
        <w:rPr>
          <w:rFonts w:hint="eastAsia" w:ascii="宋体" w:hAnsi="宋体"/>
          <w:b/>
          <w:color w:val="auto"/>
          <w:szCs w:val="21"/>
          <w:highlight w:val="none"/>
          <w:lang w:val="en-US" w:eastAsia="zh-CN"/>
        </w:rPr>
        <w:t>2.3</w:t>
      </w:r>
      <w:r>
        <w:rPr>
          <w:rFonts w:hint="eastAsia" w:ascii="宋体" w:hAnsi="宋体"/>
          <w:b/>
          <w:color w:val="auto"/>
          <w:szCs w:val="21"/>
          <w:highlight w:val="none"/>
        </w:rPr>
        <w:t>国家电力监管委员会颁发的承装类承装（修）电力设施许可证五级或以上资质</w:t>
      </w:r>
      <w:r>
        <w:rPr>
          <w:rFonts w:hint="eastAsia" w:ascii="宋体" w:hAnsi="宋体"/>
          <w:b/>
          <w:color w:val="auto"/>
          <w:szCs w:val="21"/>
          <w:highlight w:val="none"/>
          <w:lang w:val="en-US" w:eastAsia="zh-CN"/>
        </w:rPr>
        <w:t>；</w:t>
      </w:r>
      <w:r>
        <w:rPr>
          <w:rFonts w:hint="eastAsia" w:ascii="宋体" w:hAnsi="宋体"/>
          <w:b/>
          <w:color w:val="auto"/>
          <w:szCs w:val="21"/>
          <w:highlight w:val="none"/>
        </w:rPr>
        <w:t>（须提供资质证书复印件并加盖公章，开标当天投标截止时间前提供原件核查，无原件视为无效投标）；</w:t>
      </w:r>
    </w:p>
    <w:p>
      <w:pPr>
        <w:widowControl w:val="0"/>
        <w:numPr>
          <w:ilvl w:val="0"/>
          <w:numId w:val="0"/>
        </w:numPr>
        <w:snapToGrid w:val="0"/>
        <w:spacing w:line="360" w:lineRule="auto"/>
        <w:ind w:leftChars="0"/>
        <w:jc w:val="both"/>
        <w:rPr>
          <w:rFonts w:hint="eastAsia" w:ascii="宋体" w:hAnsi="宋体"/>
          <w:b/>
          <w:color w:val="auto"/>
          <w:szCs w:val="21"/>
          <w:highlight w:val="none"/>
          <w:lang w:val="en-US" w:eastAsia="zh-CN"/>
        </w:rPr>
      </w:pPr>
    </w:p>
    <w:p>
      <w:pPr>
        <w:widowControl w:val="0"/>
        <w:numPr>
          <w:ilvl w:val="0"/>
          <w:numId w:val="0"/>
        </w:numPr>
        <w:snapToGrid w:val="0"/>
        <w:spacing w:line="360" w:lineRule="auto"/>
        <w:ind w:leftChars="0"/>
        <w:jc w:val="both"/>
        <w:rPr>
          <w:rFonts w:hint="eastAsia" w:ascii="宋体" w:hAnsi="宋体"/>
          <w:b/>
          <w:color w:val="auto"/>
          <w:szCs w:val="21"/>
          <w:highlight w:val="none"/>
        </w:rPr>
      </w:pPr>
      <w:r>
        <w:rPr>
          <w:rFonts w:hint="eastAsia" w:ascii="宋体" w:hAnsi="宋体"/>
          <w:b/>
          <w:color w:val="auto"/>
          <w:szCs w:val="21"/>
          <w:highlight w:val="none"/>
          <w:lang w:val="en-US" w:eastAsia="zh-CN"/>
        </w:rPr>
        <w:t>2.4</w:t>
      </w:r>
      <w:r>
        <w:rPr>
          <w:rFonts w:hint="eastAsia" w:ascii="宋体" w:hAnsi="宋体"/>
          <w:b/>
          <w:color w:val="auto"/>
          <w:szCs w:val="21"/>
          <w:highlight w:val="none"/>
        </w:rPr>
        <w:t>“信用中国”网站（http://www.creditchina.gov.cn)、中国政府采购网（http://www.ccgp.gov.cn）</w:t>
      </w:r>
      <w:r>
        <w:rPr>
          <w:rFonts w:hint="eastAsia" w:ascii="宋体" w:hAnsi="宋体"/>
          <w:b/>
          <w:color w:val="auto"/>
          <w:szCs w:val="21"/>
          <w:highlight w:val="none"/>
          <w:lang w:eastAsia="zh-CN"/>
        </w:rPr>
        <w:t>信用信息截图</w:t>
      </w:r>
      <w:r>
        <w:rPr>
          <w:rFonts w:hint="eastAsia" w:ascii="宋体" w:hAnsi="宋体"/>
          <w:b/>
          <w:color w:val="auto"/>
          <w:szCs w:val="21"/>
          <w:highlight w:val="none"/>
        </w:rPr>
        <w:t>；</w:t>
      </w:r>
    </w:p>
    <w:p>
      <w:pPr>
        <w:widowControl w:val="0"/>
        <w:numPr>
          <w:ilvl w:val="0"/>
          <w:numId w:val="0"/>
        </w:numPr>
        <w:snapToGrid w:val="0"/>
        <w:spacing w:line="360" w:lineRule="auto"/>
        <w:ind w:leftChars="0"/>
        <w:jc w:val="both"/>
        <w:rPr>
          <w:rFonts w:hint="eastAsia" w:ascii="宋体" w:hAnsi="宋体"/>
          <w:b/>
          <w:color w:val="auto"/>
          <w:szCs w:val="21"/>
          <w:highlight w:val="none"/>
          <w:lang w:val="en-US" w:eastAsia="zh-CN"/>
        </w:rPr>
      </w:pPr>
    </w:p>
    <w:p>
      <w:pPr>
        <w:widowControl w:val="0"/>
        <w:numPr>
          <w:ilvl w:val="0"/>
          <w:numId w:val="0"/>
        </w:numPr>
        <w:snapToGrid w:val="0"/>
        <w:spacing w:line="360" w:lineRule="auto"/>
        <w:ind w:leftChars="0"/>
        <w:jc w:val="both"/>
        <w:rPr>
          <w:rFonts w:hint="eastAsia" w:ascii="宋体" w:hAnsi="宋体"/>
          <w:b/>
          <w:color w:val="auto"/>
          <w:szCs w:val="21"/>
          <w:highlight w:val="none"/>
        </w:rPr>
      </w:pPr>
      <w:r>
        <w:rPr>
          <w:rFonts w:hint="eastAsia" w:ascii="宋体" w:hAnsi="宋体"/>
          <w:b/>
          <w:color w:val="auto"/>
          <w:szCs w:val="21"/>
          <w:highlight w:val="none"/>
          <w:lang w:val="en-US" w:eastAsia="zh-CN"/>
        </w:rPr>
        <w:t>2.5</w:t>
      </w:r>
      <w:r>
        <w:rPr>
          <w:rFonts w:hint="eastAsia" w:ascii="宋体" w:hAnsi="宋体"/>
          <w:b/>
          <w:color w:val="auto"/>
          <w:szCs w:val="21"/>
          <w:highlight w:val="none"/>
        </w:rPr>
        <w:t>购买招标文件</w:t>
      </w:r>
      <w:r>
        <w:rPr>
          <w:rFonts w:hint="eastAsia" w:ascii="宋体" w:hAnsi="宋体"/>
          <w:b/>
          <w:color w:val="auto"/>
          <w:szCs w:val="21"/>
          <w:highlight w:val="none"/>
          <w:lang w:eastAsia="zh-CN"/>
        </w:rPr>
        <w:t>相关凭证（按</w:t>
      </w:r>
      <w:r>
        <w:rPr>
          <w:rFonts w:hint="eastAsia" w:ascii="宋体" w:hAnsi="宋体"/>
          <w:b/>
          <w:color w:val="auto"/>
          <w:szCs w:val="21"/>
          <w:highlight w:val="none"/>
          <w:lang w:val="en-US" w:eastAsia="zh-CN"/>
        </w:rPr>
        <w:t>2.8格式）</w:t>
      </w:r>
      <w:r>
        <w:rPr>
          <w:rFonts w:hint="eastAsia" w:ascii="宋体" w:hAnsi="宋体"/>
          <w:b/>
          <w:color w:val="auto"/>
          <w:szCs w:val="21"/>
          <w:highlight w:val="none"/>
        </w:rPr>
        <w:t>。</w:t>
      </w: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ascii="宋体" w:hAnsi="宋体"/>
          <w:b/>
          <w:color w:val="auto"/>
          <w:sz w:val="24"/>
          <w:szCs w:val="24"/>
          <w:highlight w:val="none"/>
        </w:rPr>
      </w:pPr>
    </w:p>
    <w:p>
      <w:pPr>
        <w:widowControl w:val="0"/>
        <w:tabs>
          <w:tab w:val="left" w:pos="0"/>
        </w:tabs>
        <w:spacing w:line="440" w:lineRule="exact"/>
        <w:jc w:val="center"/>
        <w:rPr>
          <w:rFonts w:hAnsi="宋体" w:cs="宋体"/>
          <w:b/>
          <w:bCs/>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lang w:val="en-US" w:eastAsia="zh-CN"/>
        </w:rPr>
        <w:t>7</w:t>
      </w:r>
      <w:r>
        <w:rPr>
          <w:rFonts w:ascii="宋体" w:hAnsi="宋体"/>
          <w:b/>
          <w:color w:val="auto"/>
          <w:sz w:val="24"/>
          <w:szCs w:val="24"/>
          <w:highlight w:val="none"/>
        </w:rPr>
        <w:t xml:space="preserve"> </w:t>
      </w:r>
      <w:r>
        <w:rPr>
          <w:rFonts w:hint="eastAsia" w:hAnsi="宋体" w:cs="宋体"/>
          <w:b/>
          <w:bCs/>
          <w:color w:val="auto"/>
          <w:sz w:val="24"/>
          <w:szCs w:val="24"/>
          <w:highlight w:val="none"/>
        </w:rPr>
        <w:t>投标人资格声明函</w:t>
      </w:r>
    </w:p>
    <w:p>
      <w:pPr>
        <w:widowControl w:val="0"/>
        <w:tabs>
          <w:tab w:val="left" w:pos="0"/>
        </w:tabs>
        <w:spacing w:line="440" w:lineRule="exact"/>
        <w:jc w:val="center"/>
        <w:rPr>
          <w:rFonts w:hAnsi="宋体" w:cs="宋体"/>
          <w:b/>
          <w:color w:val="auto"/>
          <w:sz w:val="24"/>
          <w:szCs w:val="24"/>
          <w:highlight w:val="none"/>
        </w:rPr>
      </w:pPr>
    </w:p>
    <w:p>
      <w:pPr>
        <w:spacing w:line="432" w:lineRule="auto"/>
        <w:rPr>
          <w:rFonts w:hint="eastAsia" w:asci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cs="宋体"/>
          <w:b/>
          <w:color w:val="auto"/>
          <w:szCs w:val="21"/>
          <w:highlight w:val="none"/>
          <w:u w:val="single"/>
          <w:lang w:eastAsia="zh-CN"/>
        </w:rPr>
        <w:t>中山市坦洲镇集体资产经营有限公司</w:t>
      </w:r>
      <w:r>
        <w:rPr>
          <w:rFonts w:ascii="宋体" w:hAnsi="宋体" w:cs="宋体"/>
          <w:b/>
          <w:color w:val="auto"/>
          <w:szCs w:val="21"/>
          <w:highlight w:val="none"/>
          <w:u w:val="single"/>
        </w:rPr>
        <w:t>/</w:t>
      </w:r>
      <w:r>
        <w:rPr>
          <w:rFonts w:hint="eastAsia" w:ascii="宋体" w:hAnsi="宋体" w:cs="宋体"/>
          <w:b/>
          <w:color w:val="auto"/>
          <w:szCs w:val="21"/>
          <w:highlight w:val="none"/>
          <w:u w:val="single"/>
          <w:lang w:eastAsia="zh-CN"/>
        </w:rPr>
        <w:t>中山市建业建筑工程监理有限公司</w:t>
      </w:r>
    </w:p>
    <w:p>
      <w:pPr>
        <w:tabs>
          <w:tab w:val="left" w:pos="840"/>
        </w:tabs>
        <w:spacing w:line="432" w:lineRule="auto"/>
        <w:ind w:firstLine="420" w:firstLineChars="200"/>
        <w:rPr>
          <w:rFonts w:ascii="宋体" w:cs="宋体"/>
          <w:color w:val="auto"/>
          <w:szCs w:val="21"/>
          <w:highlight w:val="none"/>
        </w:rPr>
      </w:pPr>
      <w:r>
        <w:rPr>
          <w:rFonts w:hint="eastAsia" w:ascii="宋体" w:hAnsi="宋体" w:cs="宋体"/>
          <w:color w:val="auto"/>
          <w:szCs w:val="21"/>
          <w:highlight w:val="none"/>
        </w:rPr>
        <w:t>关于贵方采购项目名称：</w:t>
      </w:r>
      <w:r>
        <w:rPr>
          <w:rFonts w:hint="eastAsia" w:ascii="宋体" w:hAnsi="宋体" w:cs="宋体"/>
          <w:color w:val="auto"/>
          <w:szCs w:val="21"/>
          <w:highlight w:val="none"/>
          <w:u w:val="single"/>
          <w:lang w:eastAsia="zh-CN"/>
        </w:rPr>
        <w:t>中山市坦洲镇政府大院发电机购置安装项目</w:t>
      </w:r>
      <w:r>
        <w:rPr>
          <w:rFonts w:hint="eastAsia" w:ascii="宋体" w:hAnsi="宋体" w:cs="宋体"/>
          <w:color w:val="auto"/>
          <w:szCs w:val="21"/>
          <w:highlight w:val="none"/>
        </w:rPr>
        <w:t>（采购项目编号：</w:t>
      </w:r>
      <w:r>
        <w:rPr>
          <w:rFonts w:hint="eastAsia" w:ascii="宋体" w:cs="Arial"/>
          <w:color w:val="auto"/>
          <w:highlight w:val="none"/>
          <w:u w:val="single"/>
          <w:lang w:eastAsia="zh-CN"/>
        </w:rPr>
        <w:t>ZSJYJZ012</w:t>
      </w:r>
      <w:r>
        <w:rPr>
          <w:rFonts w:hint="eastAsia" w:ascii="宋体" w:hAnsi="宋体" w:cs="宋体"/>
          <w:color w:val="auto"/>
          <w:szCs w:val="21"/>
          <w:highlight w:val="none"/>
        </w:rPr>
        <w:t>）的投标，并声明：</w:t>
      </w:r>
    </w:p>
    <w:p>
      <w:pPr>
        <w:tabs>
          <w:tab w:val="left" w:pos="840"/>
        </w:tabs>
        <w:spacing w:line="432" w:lineRule="auto"/>
        <w:ind w:firstLine="420" w:firstLineChars="200"/>
        <w:rPr>
          <w:rFonts w:ascii="宋体" w:cs="宋体"/>
          <w:color w:val="auto"/>
          <w:szCs w:val="21"/>
          <w:highlight w:val="none"/>
        </w:rPr>
      </w:pPr>
      <w:r>
        <w:rPr>
          <w:rFonts w:hint="eastAsia" w:ascii="宋体" w:hAnsi="宋体" w:cs="宋体"/>
          <w:color w:val="auto"/>
          <w:szCs w:val="21"/>
          <w:highlight w:val="none"/>
        </w:rPr>
        <w:t>1、我方具备《政府采购法》第二十二条规定的条件，材料详见《资格审查资料》。</w:t>
      </w:r>
    </w:p>
    <w:p>
      <w:pPr>
        <w:widowControl w:val="0"/>
        <w:tabs>
          <w:tab w:val="left" w:pos="993"/>
          <w:tab w:val="left" w:pos="1080"/>
        </w:tabs>
        <w:autoSpaceDE w:val="0"/>
        <w:autoSpaceDN w:val="0"/>
        <w:adjustRightInd w:val="0"/>
        <w:spacing w:line="432" w:lineRule="auto"/>
        <w:ind w:firstLine="420" w:firstLineChars="200"/>
        <w:textAlignment w:val="baseline"/>
        <w:rPr>
          <w:rFonts w:ascii="宋体" w:cs="宋体"/>
          <w:b/>
          <w:snapToGrid w:val="0"/>
          <w:color w:val="auto"/>
          <w:szCs w:val="21"/>
          <w:highlight w:val="none"/>
        </w:rPr>
      </w:pPr>
      <w:r>
        <w:rPr>
          <w:rFonts w:hint="eastAsia" w:ascii="宋体" w:hAnsi="宋体" w:cs="宋体"/>
          <w:color w:val="auto"/>
          <w:szCs w:val="21"/>
          <w:highlight w:val="none"/>
        </w:rPr>
        <w:t>2、我方在</w:t>
      </w:r>
      <w:r>
        <w:rPr>
          <w:rFonts w:hint="eastAsia" w:ascii="宋体" w:hAnsi="宋体" w:cs="宋体"/>
          <w:snapToGrid w:val="0"/>
          <w:color w:val="auto"/>
          <w:szCs w:val="21"/>
          <w:highlight w:val="none"/>
        </w:rPr>
        <w:t>参加政府采购活动前三年内，在经营活动中没有重大违法记录。</w:t>
      </w:r>
    </w:p>
    <w:p>
      <w:pPr>
        <w:tabs>
          <w:tab w:val="left" w:pos="840"/>
        </w:tabs>
        <w:spacing w:line="43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3、我方已清楚招标文件的要求及有关文件规定。</w:t>
      </w:r>
    </w:p>
    <w:p>
      <w:pPr>
        <w:tabs>
          <w:tab w:val="left" w:pos="840"/>
        </w:tabs>
        <w:spacing w:line="432" w:lineRule="auto"/>
        <w:ind w:firstLine="420" w:firstLineChars="200"/>
        <w:rPr>
          <w:rFonts w:ascii="宋体" w:cs="宋体"/>
          <w:color w:val="auto"/>
          <w:szCs w:val="21"/>
          <w:highlight w:val="none"/>
        </w:rPr>
      </w:pPr>
      <w:r>
        <w:rPr>
          <w:rFonts w:hint="eastAsia" w:ascii="宋体" w:hAnsi="宋体" w:cs="宋体"/>
          <w:color w:val="auto"/>
          <w:szCs w:val="21"/>
          <w:highlight w:val="none"/>
        </w:rPr>
        <w:t>4、我方承诺在本次招标采购活动中，如有违法、违规、弄虚作假行为，所造成的损失、不良后果及法律责任，一律由我公司（企业）承担。</w:t>
      </w:r>
    </w:p>
    <w:p>
      <w:pPr>
        <w:tabs>
          <w:tab w:val="left" w:pos="840"/>
        </w:tabs>
        <w:spacing w:line="432" w:lineRule="auto"/>
        <w:ind w:firstLine="420" w:firstLineChars="200"/>
        <w:rPr>
          <w:rFonts w:ascii="宋体" w:cs="宋体"/>
          <w:color w:val="auto"/>
          <w:szCs w:val="21"/>
          <w:highlight w:val="none"/>
        </w:rPr>
      </w:pPr>
      <w:r>
        <w:rPr>
          <w:rFonts w:hint="eastAsia" w:ascii="宋体" w:hAnsi="宋体" w:cs="宋体"/>
          <w:color w:val="auto"/>
          <w:szCs w:val="21"/>
          <w:highlight w:val="none"/>
        </w:rPr>
        <w:t>特此声明！</w:t>
      </w:r>
    </w:p>
    <w:p>
      <w:pPr>
        <w:spacing w:line="432" w:lineRule="auto"/>
        <w:rPr>
          <w:rFonts w:ascii="宋体" w:cs="宋体"/>
          <w:color w:val="auto"/>
          <w:szCs w:val="21"/>
          <w:highlight w:val="none"/>
        </w:rPr>
      </w:pPr>
    </w:p>
    <w:p>
      <w:pPr>
        <w:spacing w:line="432" w:lineRule="auto"/>
        <w:rPr>
          <w:rFonts w:ascii="宋体" w:cs="宋体"/>
          <w:color w:val="auto"/>
          <w:szCs w:val="21"/>
          <w:highlight w:val="none"/>
        </w:rPr>
      </w:pPr>
      <w:r>
        <w:rPr>
          <w:rFonts w:hint="eastAsia" w:ascii="宋体" w:hAnsi="宋体" w:cs="宋体"/>
          <w:color w:val="auto"/>
          <w:szCs w:val="21"/>
          <w:highlight w:val="none"/>
        </w:rPr>
        <w:t>投标人名称（公章）：</w:t>
      </w:r>
    </w:p>
    <w:p>
      <w:pPr>
        <w:spacing w:line="432" w:lineRule="auto"/>
        <w:rPr>
          <w:rFonts w:ascii="宋体" w:cs="宋体"/>
          <w:color w:val="auto"/>
          <w:szCs w:val="21"/>
          <w:highlight w:val="none"/>
        </w:rPr>
      </w:pPr>
      <w:r>
        <w:rPr>
          <w:rFonts w:hint="eastAsia" w:ascii="宋体" w:hAnsi="宋体" w:cs="宋体"/>
          <w:color w:val="auto"/>
          <w:szCs w:val="21"/>
          <w:highlight w:val="none"/>
        </w:rPr>
        <w:t>投标人法定代表人（或法定代表人授权代表）签名：</w:t>
      </w:r>
    </w:p>
    <w:p>
      <w:pPr>
        <w:spacing w:line="432" w:lineRule="auto"/>
        <w:rPr>
          <w:rFonts w:ascii="宋体" w:cs="宋体"/>
          <w:b/>
          <w:color w:val="auto"/>
          <w:szCs w:val="21"/>
          <w:highlight w:val="none"/>
        </w:rPr>
      </w:pPr>
      <w:r>
        <w:rPr>
          <w:rFonts w:hint="eastAsia" w:ascii="宋体" w:hAnsi="宋体" w:cs="宋体"/>
          <w:color w:val="auto"/>
          <w:szCs w:val="21"/>
          <w:highlight w:val="none"/>
        </w:rPr>
        <w:t>日期：年月日</w:t>
      </w:r>
    </w:p>
    <w:p>
      <w:pPr>
        <w:spacing w:line="432" w:lineRule="auto"/>
        <w:rPr>
          <w:rFonts w:ascii="宋体" w:cs="宋体"/>
          <w:b/>
          <w:color w:val="auto"/>
          <w:szCs w:val="21"/>
          <w:highlight w:val="none"/>
        </w:rPr>
      </w:pPr>
    </w:p>
    <w:p>
      <w:pPr>
        <w:spacing w:line="440" w:lineRule="exact"/>
        <w:rPr>
          <w:bCs/>
          <w:color w:val="auto"/>
          <w:szCs w:val="21"/>
          <w:highlight w:val="none"/>
        </w:rPr>
      </w:pPr>
    </w:p>
    <w:p>
      <w:pPr>
        <w:widowControl w:val="0"/>
        <w:spacing w:line="440" w:lineRule="exact"/>
        <w:jc w:val="both"/>
        <w:rPr>
          <w:color w:val="auto"/>
          <w:highlight w:val="none"/>
        </w:rPr>
      </w:pPr>
      <w:r>
        <w:rPr>
          <w:b/>
          <w:color w:val="auto"/>
          <w:highlight w:val="none"/>
        </w:rPr>
        <w:br w:type="page"/>
      </w:r>
    </w:p>
    <w:p>
      <w:pPr>
        <w:pStyle w:val="5"/>
        <w:rPr>
          <w:color w:val="auto"/>
          <w:highlight w:val="none"/>
        </w:rPr>
      </w:pPr>
    </w:p>
    <w:p>
      <w:pPr>
        <w:jc w:val="center"/>
        <w:rPr>
          <w:rFonts w:ascii="宋体" w:cs="宋体"/>
          <w:b/>
          <w:color w:val="auto"/>
          <w:sz w:val="24"/>
          <w:szCs w:val="24"/>
          <w:highlight w:val="none"/>
        </w:rPr>
      </w:pPr>
      <w:r>
        <w:rPr>
          <w:rFonts w:ascii="宋体" w:hAnsi="宋体" w:cs="宋体"/>
          <w:b/>
          <w:color w:val="auto"/>
          <w:sz w:val="24"/>
          <w:szCs w:val="24"/>
          <w:highlight w:val="none"/>
        </w:rPr>
        <w:t>2.</w:t>
      </w:r>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 xml:space="preserve"> 购买招标文件凭证</w:t>
      </w:r>
    </w:p>
    <w:p>
      <w:pPr>
        <w:pStyle w:val="5"/>
        <w:rPr>
          <w:color w:val="auto"/>
          <w:highlight w:val="none"/>
        </w:rPr>
      </w:pPr>
    </w:p>
    <w:tbl>
      <w:tblPr>
        <w:tblStyle w:val="55"/>
        <w:tblW w:w="8520"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95" w:hRule="atLeast"/>
        </w:trPr>
        <w:tc>
          <w:tcPr>
            <w:tcW w:w="8520" w:type="dxa"/>
          </w:tcPr>
          <w:p>
            <w:pPr>
              <w:spacing w:line="360" w:lineRule="auto"/>
              <w:rPr>
                <w:rFonts w:ascii="宋体" w:cs="宋体"/>
                <w:color w:val="auto"/>
                <w:szCs w:val="21"/>
                <w:highlight w:val="none"/>
              </w:rPr>
            </w:pPr>
            <w:r>
              <w:rPr>
                <w:rFonts w:hint="eastAsia" w:ascii="宋体" w:hAnsi="宋体" w:cs="宋体"/>
                <w:color w:val="auto"/>
                <w:szCs w:val="21"/>
                <w:highlight w:val="none"/>
              </w:rPr>
              <w:t>粘贴购买招标文件凭证复印件（提供收据或发票）</w:t>
            </w:r>
          </w:p>
        </w:tc>
      </w:tr>
    </w:tbl>
    <w:p>
      <w:pPr>
        <w:rPr>
          <w:color w:val="auto"/>
          <w:highlight w:val="none"/>
        </w:rPr>
      </w:pPr>
    </w:p>
    <w:p>
      <w:pPr>
        <w:pStyle w:val="5"/>
        <w:spacing w:line="360" w:lineRule="auto"/>
        <w:rPr>
          <w:rFonts w:ascii="宋体" w:cs="宋体"/>
          <w:color w:val="auto"/>
          <w:szCs w:val="21"/>
          <w:highlight w:val="none"/>
        </w:rPr>
      </w:pPr>
    </w:p>
    <w:p>
      <w:pPr>
        <w:widowControl w:val="0"/>
        <w:spacing w:line="440" w:lineRule="exact"/>
        <w:jc w:val="both"/>
        <w:rPr>
          <w:rFonts w:ascii="宋体"/>
          <w:color w:val="auto"/>
          <w:szCs w:val="21"/>
          <w:highlight w:val="none"/>
        </w:rPr>
      </w:pPr>
      <w:r>
        <w:rPr>
          <w:rFonts w:hint="eastAsia" w:ascii="宋体" w:hAnsi="宋体"/>
          <w:color w:val="auto"/>
          <w:szCs w:val="21"/>
          <w:highlight w:val="none"/>
        </w:rPr>
        <w:t>投标人名称（公章）：</w:t>
      </w:r>
    </w:p>
    <w:p>
      <w:pPr>
        <w:widowControl w:val="0"/>
        <w:spacing w:line="440" w:lineRule="exact"/>
        <w:jc w:val="both"/>
        <w:rPr>
          <w:rFonts w:ascii="宋体"/>
          <w:color w:val="auto"/>
          <w:szCs w:val="21"/>
          <w:highlight w:val="none"/>
        </w:rPr>
      </w:pPr>
      <w:r>
        <w:rPr>
          <w:rFonts w:hint="eastAsia" w:ascii="宋体" w:hAnsi="宋体"/>
          <w:color w:val="auto"/>
          <w:szCs w:val="21"/>
          <w:highlight w:val="none"/>
        </w:rPr>
        <w:t>投标人法定代表人（或法定代表人授权代表）签名：</w:t>
      </w:r>
    </w:p>
    <w:p>
      <w:pPr>
        <w:pStyle w:val="5"/>
        <w:spacing w:line="360" w:lineRule="auto"/>
        <w:ind w:left="0"/>
        <w:rPr>
          <w:rFonts w:ascii="宋体" w:cs="宋体"/>
          <w:color w:val="auto"/>
          <w:szCs w:val="21"/>
          <w:highlight w:val="none"/>
        </w:rPr>
      </w:pPr>
      <w:r>
        <w:rPr>
          <w:rFonts w:hint="eastAsia" w:ascii="宋体" w:hAnsi="宋体"/>
          <w:color w:val="auto"/>
          <w:szCs w:val="21"/>
          <w:highlight w:val="none"/>
        </w:rPr>
        <w:t>日期：年月日</w:t>
      </w: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rPr>
          <w:rFonts w:ascii="宋体" w:cs="宋体"/>
          <w:color w:val="auto"/>
          <w:szCs w:val="21"/>
          <w:highlight w:val="none"/>
        </w:rPr>
      </w:pPr>
    </w:p>
    <w:p>
      <w:pPr>
        <w:pStyle w:val="5"/>
        <w:spacing w:line="360" w:lineRule="auto"/>
        <w:ind w:left="0"/>
        <w:rPr>
          <w:rFonts w:ascii="宋体" w:cs="宋体"/>
          <w:color w:val="auto"/>
          <w:szCs w:val="21"/>
          <w:highlight w:val="none"/>
        </w:rPr>
      </w:pPr>
    </w:p>
    <w:p>
      <w:pPr>
        <w:pStyle w:val="5"/>
        <w:spacing w:line="360" w:lineRule="auto"/>
        <w:ind w:left="0"/>
        <w:rPr>
          <w:rFonts w:ascii="宋体" w:cs="宋体"/>
          <w:color w:val="auto"/>
          <w:szCs w:val="21"/>
          <w:highlight w:val="none"/>
        </w:rPr>
      </w:pPr>
    </w:p>
    <w:p>
      <w:pPr>
        <w:pStyle w:val="5"/>
        <w:spacing w:line="360" w:lineRule="auto"/>
        <w:ind w:left="0"/>
        <w:rPr>
          <w:rFonts w:ascii="宋体" w:cs="宋体"/>
          <w:color w:val="auto"/>
          <w:szCs w:val="21"/>
          <w:highlight w:val="none"/>
        </w:rPr>
      </w:pPr>
    </w:p>
    <w:p>
      <w:pPr>
        <w:pStyle w:val="5"/>
        <w:spacing w:line="360" w:lineRule="auto"/>
        <w:rPr>
          <w:rFonts w:ascii="宋体" w:cs="宋体"/>
          <w:color w:val="auto"/>
          <w:szCs w:val="21"/>
          <w:highlight w:val="none"/>
        </w:rPr>
      </w:pPr>
    </w:p>
    <w:p>
      <w:pPr>
        <w:jc w:val="center"/>
        <w:rPr>
          <w:rFonts w:ascii="宋体"/>
          <w:b/>
          <w:color w:val="auto"/>
          <w:sz w:val="24"/>
          <w:szCs w:val="24"/>
          <w:highlight w:val="none"/>
        </w:rPr>
      </w:pPr>
    </w:p>
    <w:p>
      <w:pPr>
        <w:jc w:val="center"/>
        <w:rPr>
          <w:rFonts w:asci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lang w:val="en-US" w:eastAsia="zh-CN"/>
        </w:rPr>
        <w:t>9</w:t>
      </w:r>
      <w:r>
        <w:rPr>
          <w:rFonts w:hint="eastAsia" w:ascii="宋体" w:hAnsi="宋体"/>
          <w:b/>
          <w:color w:val="auto"/>
          <w:sz w:val="24"/>
          <w:szCs w:val="24"/>
          <w:highlight w:val="none"/>
        </w:rPr>
        <w:t>投标保证金交纳凭证</w:t>
      </w:r>
    </w:p>
    <w:p>
      <w:pPr>
        <w:jc w:val="center"/>
        <w:rPr>
          <w:rFonts w:ascii="宋体"/>
          <w:b/>
          <w:color w:val="auto"/>
          <w:sz w:val="24"/>
          <w:szCs w:val="24"/>
          <w:highlight w:val="none"/>
        </w:rPr>
      </w:pPr>
    </w:p>
    <w:tbl>
      <w:tblPr>
        <w:tblStyle w:val="55"/>
        <w:tblpPr w:leftFromText="180" w:rightFromText="180" w:vertAnchor="text" w:horzAnchor="margin" w:tblpY="12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3" w:hRule="atLeast"/>
        </w:trPr>
        <w:tc>
          <w:tcPr>
            <w:tcW w:w="9180" w:type="dxa"/>
          </w:tcPr>
          <w:p>
            <w:pPr>
              <w:spacing w:line="360" w:lineRule="auto"/>
              <w:rPr>
                <w:rFonts w:ascii="宋体" w:cs="宋体"/>
                <w:color w:val="auto"/>
                <w:szCs w:val="21"/>
                <w:highlight w:val="none"/>
              </w:rPr>
            </w:pPr>
            <w:r>
              <w:rPr>
                <w:rFonts w:hint="eastAsia" w:ascii="宋体" w:hAnsi="宋体" w:cs="宋体"/>
                <w:color w:val="auto"/>
                <w:szCs w:val="21"/>
                <w:highlight w:val="none"/>
              </w:rPr>
              <w:t>粘贴转帐或汇款的银行凭证复印件</w:t>
            </w:r>
          </w:p>
        </w:tc>
      </w:tr>
    </w:tbl>
    <w:p>
      <w:pPr>
        <w:adjustRightInd w:val="0"/>
        <w:snapToGrid w:val="0"/>
        <w:spacing w:line="360" w:lineRule="auto"/>
        <w:rPr>
          <w:rFonts w:ascii="宋体" w:cs="宋体"/>
          <w:color w:val="auto"/>
          <w:szCs w:val="21"/>
          <w:highlight w:val="none"/>
          <w:u w:val="single"/>
        </w:rPr>
      </w:pPr>
    </w:p>
    <w:p>
      <w:pPr>
        <w:adjustRightInd w:val="0"/>
        <w:snapToGrid w:val="0"/>
        <w:spacing w:line="360" w:lineRule="auto"/>
        <w:rPr>
          <w:rFonts w:ascii="宋体" w:cs="宋体"/>
          <w:color w:val="auto"/>
          <w:szCs w:val="21"/>
          <w:highlight w:val="none"/>
          <w:u w:val="single"/>
        </w:rPr>
      </w:pPr>
    </w:p>
    <w:p>
      <w:pPr>
        <w:pStyle w:val="53"/>
        <w:ind w:firstLine="240"/>
        <w:rPr>
          <w:rFonts w:ascii="宋体" w:cs="宋体"/>
          <w:color w:val="auto"/>
          <w:szCs w:val="21"/>
          <w:highlight w:val="none"/>
          <w:u w:val="single"/>
        </w:rPr>
      </w:pPr>
    </w:p>
    <w:p>
      <w:pPr>
        <w:pStyle w:val="53"/>
        <w:ind w:firstLine="240"/>
        <w:rPr>
          <w:rFonts w:ascii="宋体" w:cs="宋体"/>
          <w:color w:val="auto"/>
          <w:szCs w:val="21"/>
          <w:highlight w:val="none"/>
          <w:u w:val="single"/>
        </w:rPr>
      </w:pPr>
    </w:p>
    <w:p>
      <w:pPr>
        <w:pStyle w:val="53"/>
        <w:ind w:firstLine="240"/>
        <w:rPr>
          <w:rFonts w:ascii="宋体" w:cs="宋体"/>
          <w:color w:val="auto"/>
          <w:szCs w:val="21"/>
          <w:highlight w:val="none"/>
          <w:u w:val="single"/>
        </w:rPr>
      </w:pPr>
    </w:p>
    <w:p>
      <w:pPr>
        <w:pStyle w:val="53"/>
        <w:ind w:firstLine="240"/>
        <w:rPr>
          <w:rFonts w:ascii="宋体" w:cs="宋体"/>
          <w:color w:val="auto"/>
          <w:szCs w:val="21"/>
          <w:highlight w:val="none"/>
          <w:u w:val="single"/>
        </w:rPr>
      </w:pPr>
    </w:p>
    <w:p>
      <w:pPr>
        <w:pStyle w:val="53"/>
        <w:ind w:firstLine="240"/>
        <w:rPr>
          <w:rFonts w:ascii="宋体" w:cs="宋体"/>
          <w:color w:val="auto"/>
          <w:szCs w:val="21"/>
          <w:highlight w:val="none"/>
          <w:u w:val="single"/>
        </w:rPr>
      </w:pPr>
    </w:p>
    <w:p>
      <w:pPr>
        <w:pStyle w:val="53"/>
        <w:ind w:firstLine="240"/>
        <w:rPr>
          <w:rFonts w:ascii="宋体" w:cs="宋体"/>
          <w:color w:val="auto"/>
          <w:szCs w:val="21"/>
          <w:highlight w:val="none"/>
          <w:u w:val="single"/>
        </w:rPr>
      </w:pPr>
    </w:p>
    <w:p>
      <w:pPr>
        <w:pStyle w:val="53"/>
        <w:ind w:firstLine="240"/>
        <w:rPr>
          <w:rFonts w:ascii="宋体" w:cs="宋体"/>
          <w:color w:val="auto"/>
          <w:szCs w:val="21"/>
          <w:highlight w:val="none"/>
          <w:u w:val="single"/>
        </w:rPr>
      </w:pPr>
    </w:p>
    <w:p>
      <w:pPr>
        <w:pStyle w:val="53"/>
        <w:ind w:firstLine="240"/>
        <w:rPr>
          <w:rFonts w:ascii="宋体" w:cs="宋体"/>
          <w:color w:val="auto"/>
          <w:szCs w:val="21"/>
          <w:highlight w:val="none"/>
          <w:u w:val="single"/>
        </w:rPr>
      </w:pPr>
    </w:p>
    <w:p>
      <w:pPr>
        <w:pStyle w:val="53"/>
        <w:ind w:firstLine="240"/>
        <w:rPr>
          <w:rFonts w:ascii="宋体" w:cs="宋体"/>
          <w:color w:val="auto"/>
          <w:szCs w:val="21"/>
          <w:highlight w:val="none"/>
          <w:u w:val="single"/>
        </w:rPr>
      </w:pPr>
    </w:p>
    <w:p>
      <w:pPr>
        <w:pStyle w:val="53"/>
        <w:ind w:firstLine="240"/>
        <w:rPr>
          <w:rFonts w:ascii="宋体" w:cs="宋体"/>
          <w:color w:val="auto"/>
          <w:szCs w:val="21"/>
          <w:highlight w:val="none"/>
          <w:u w:val="single"/>
        </w:rPr>
      </w:pPr>
    </w:p>
    <w:p>
      <w:pPr>
        <w:pStyle w:val="53"/>
        <w:ind w:firstLine="240"/>
        <w:rPr>
          <w:rFonts w:ascii="宋体" w:cs="宋体"/>
          <w:color w:val="auto"/>
          <w:szCs w:val="21"/>
          <w:highlight w:val="none"/>
          <w:u w:val="single"/>
        </w:rPr>
      </w:pPr>
    </w:p>
    <w:p>
      <w:pPr>
        <w:widowControl w:val="0"/>
        <w:spacing w:line="440" w:lineRule="exact"/>
        <w:jc w:val="both"/>
        <w:rPr>
          <w:rFonts w:ascii="宋体"/>
          <w:color w:val="auto"/>
          <w:szCs w:val="21"/>
          <w:highlight w:val="none"/>
        </w:rPr>
      </w:pPr>
      <w:r>
        <w:rPr>
          <w:rFonts w:hint="eastAsia" w:ascii="宋体" w:hAnsi="宋体"/>
          <w:color w:val="auto"/>
          <w:szCs w:val="21"/>
          <w:highlight w:val="none"/>
        </w:rPr>
        <w:t>投标人名称（公章）：</w:t>
      </w:r>
    </w:p>
    <w:p>
      <w:pPr>
        <w:widowControl w:val="0"/>
        <w:spacing w:line="440" w:lineRule="exact"/>
        <w:jc w:val="both"/>
        <w:rPr>
          <w:rFonts w:ascii="宋体"/>
          <w:color w:val="auto"/>
          <w:szCs w:val="21"/>
          <w:highlight w:val="none"/>
        </w:rPr>
      </w:pPr>
      <w:r>
        <w:rPr>
          <w:rFonts w:hint="eastAsia" w:ascii="宋体" w:hAnsi="宋体"/>
          <w:color w:val="auto"/>
          <w:szCs w:val="21"/>
          <w:highlight w:val="none"/>
        </w:rPr>
        <w:t>投标人法定代表人（或法定代表人授权代表）签名：</w:t>
      </w:r>
    </w:p>
    <w:p>
      <w:pPr>
        <w:pStyle w:val="5"/>
        <w:spacing w:line="360" w:lineRule="auto"/>
        <w:ind w:left="0"/>
        <w:rPr>
          <w:color w:val="auto"/>
          <w:highlight w:val="none"/>
        </w:rPr>
      </w:pPr>
      <w:r>
        <w:rPr>
          <w:rFonts w:hint="eastAsia" w:ascii="宋体" w:hAnsi="宋体"/>
          <w:color w:val="auto"/>
          <w:szCs w:val="21"/>
          <w:highlight w:val="none"/>
        </w:rPr>
        <w:t>日期：年月日</w:t>
      </w: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5"/>
        <w:ind w:left="0"/>
        <w:rPr>
          <w:color w:val="auto"/>
          <w:highlight w:val="none"/>
        </w:rPr>
      </w:pPr>
    </w:p>
    <w:p>
      <w:pPr>
        <w:pStyle w:val="4"/>
        <w:spacing w:before="120" w:after="120" w:line="360" w:lineRule="auto"/>
        <w:jc w:val="left"/>
        <w:rPr>
          <w:rFonts w:hAnsi="宋体" w:cs="宋体"/>
          <w:color w:val="auto"/>
          <w:szCs w:val="24"/>
          <w:highlight w:val="none"/>
        </w:rPr>
      </w:pPr>
      <w:r>
        <w:rPr>
          <w:rFonts w:hint="eastAsia" w:hAnsi="宋体" w:cs="宋体"/>
          <w:color w:val="auto"/>
          <w:szCs w:val="24"/>
          <w:highlight w:val="none"/>
        </w:rPr>
        <w:t>三、符合性资料</w:t>
      </w:r>
    </w:p>
    <w:p>
      <w:pPr>
        <w:pStyle w:val="7"/>
        <w:keepNext/>
        <w:keepLines/>
        <w:tabs>
          <w:tab w:val="left" w:pos="420"/>
        </w:tabs>
        <w:autoSpaceDE/>
        <w:adjustRightInd/>
        <w:snapToGrid/>
        <w:ind w:left="0" w:firstLine="0"/>
        <w:jc w:val="center"/>
        <w:rPr>
          <w:rFonts w:hAnsi="宋体" w:cs="宋体"/>
          <w:b/>
          <w:color w:val="auto"/>
          <w:sz w:val="24"/>
          <w:szCs w:val="24"/>
          <w:highlight w:val="none"/>
        </w:rPr>
      </w:pPr>
      <w:r>
        <w:rPr>
          <w:rFonts w:hAnsi="宋体" w:cs="宋体"/>
          <w:b/>
          <w:color w:val="auto"/>
          <w:sz w:val="24"/>
          <w:szCs w:val="24"/>
          <w:highlight w:val="none"/>
        </w:rPr>
        <w:t>3.1</w:t>
      </w:r>
      <w:r>
        <w:rPr>
          <w:rFonts w:hint="eastAsia" w:hAnsi="宋体" w:cs="宋体"/>
          <w:b/>
          <w:color w:val="auto"/>
          <w:sz w:val="24"/>
          <w:szCs w:val="24"/>
          <w:highlight w:val="none"/>
        </w:rPr>
        <w:t>投标函</w:t>
      </w:r>
    </w:p>
    <w:p>
      <w:pPr>
        <w:spacing w:line="432" w:lineRule="auto"/>
        <w:rPr>
          <w:rFonts w:ascii="宋体" w:cs="宋体"/>
          <w:color w:val="auto"/>
          <w:szCs w:val="21"/>
          <w:highlight w:val="none"/>
        </w:rPr>
      </w:pPr>
      <w:r>
        <w:rPr>
          <w:rFonts w:hint="eastAsia" w:ascii="宋体" w:hAnsi="宋体" w:cs="宋体"/>
          <w:b/>
          <w:color w:val="auto"/>
          <w:szCs w:val="21"/>
          <w:highlight w:val="none"/>
          <w:u w:val="single"/>
          <w:lang w:eastAsia="zh-CN"/>
        </w:rPr>
        <w:t>中山市坦洲镇集体资产经营有限公司</w:t>
      </w:r>
      <w:r>
        <w:rPr>
          <w:rFonts w:ascii="宋体" w:hAnsi="宋体" w:cs="宋体"/>
          <w:b/>
          <w:color w:val="auto"/>
          <w:szCs w:val="21"/>
          <w:highlight w:val="none"/>
          <w:u w:val="single"/>
        </w:rPr>
        <w:t>/</w:t>
      </w:r>
      <w:r>
        <w:rPr>
          <w:rFonts w:hint="eastAsia" w:ascii="宋体" w:hAnsi="宋体" w:cs="宋体"/>
          <w:b/>
          <w:color w:val="auto"/>
          <w:szCs w:val="21"/>
          <w:highlight w:val="none"/>
          <w:u w:val="single"/>
          <w:lang w:eastAsia="zh-CN"/>
        </w:rPr>
        <w:t>中山市建业建筑工程监理有限公司</w:t>
      </w:r>
      <w:r>
        <w:rPr>
          <w:rFonts w:hint="eastAsia" w:ascii="宋体" w:hAnsi="宋体" w:cs="宋体"/>
          <w:color w:val="auto"/>
          <w:szCs w:val="21"/>
          <w:highlight w:val="none"/>
        </w:rPr>
        <w:t>：</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依据贵方</w:t>
      </w:r>
      <w:r>
        <w:rPr>
          <w:rFonts w:hint="eastAsia" w:ascii="宋体" w:hAnsi="宋体" w:cs="宋体"/>
          <w:color w:val="auto"/>
          <w:szCs w:val="21"/>
          <w:highlight w:val="none"/>
          <w:u w:val="single"/>
          <w:lang w:eastAsia="zh-CN"/>
        </w:rPr>
        <w:t>中山市坦洲镇政府大院发电机购置安装项目</w:t>
      </w:r>
      <w:r>
        <w:rPr>
          <w:rFonts w:hint="eastAsia" w:ascii="宋体" w:hAnsi="宋体" w:cs="宋体"/>
          <w:color w:val="auto"/>
          <w:szCs w:val="21"/>
          <w:highlight w:val="none"/>
        </w:rPr>
        <w:t>（采购项目编号：</w:t>
      </w:r>
      <w:r>
        <w:rPr>
          <w:rFonts w:hint="eastAsia" w:ascii="宋体" w:cs="Arial"/>
          <w:color w:val="auto"/>
          <w:highlight w:val="none"/>
          <w:u w:val="single"/>
          <w:lang w:eastAsia="zh-CN"/>
        </w:rPr>
        <w:t>ZSJYJZ012</w:t>
      </w:r>
      <w:r>
        <w:rPr>
          <w:rFonts w:hint="eastAsia" w:ascii="宋体" w:hAnsi="宋体" w:cs="宋体"/>
          <w:color w:val="auto"/>
          <w:szCs w:val="21"/>
          <w:highlight w:val="none"/>
        </w:rPr>
        <w:t>）项目招标采购投标邀请，我方代表</w:t>
      </w:r>
      <w:r>
        <w:rPr>
          <w:rFonts w:hint="eastAsia" w:ascii="宋体" w:hAnsi="宋体" w:cs="宋体"/>
          <w:color w:val="auto"/>
          <w:szCs w:val="21"/>
          <w:highlight w:val="none"/>
          <w:u w:val="single"/>
        </w:rPr>
        <w:t>（姓名、职务）</w:t>
      </w:r>
      <w:r>
        <w:rPr>
          <w:rFonts w:hint="eastAsia" w:ascii="宋体" w:hAnsi="宋体" w:cs="宋体"/>
          <w:color w:val="auto"/>
          <w:szCs w:val="21"/>
          <w:highlight w:val="none"/>
        </w:rPr>
        <w:t>经正式授权并代表</w:t>
      </w:r>
      <w:r>
        <w:rPr>
          <w:rFonts w:hint="eastAsia" w:ascii="宋体" w:hAnsi="宋体" w:cs="宋体"/>
          <w:color w:val="auto"/>
          <w:szCs w:val="21"/>
          <w:highlight w:val="none"/>
          <w:u w:val="single"/>
        </w:rPr>
        <w:t>（投标人名称、地址）</w:t>
      </w:r>
      <w:r>
        <w:rPr>
          <w:rFonts w:hint="eastAsia" w:ascii="宋体" w:hAnsi="宋体" w:cs="宋体"/>
          <w:color w:val="auto"/>
          <w:szCs w:val="21"/>
          <w:highlight w:val="none"/>
        </w:rPr>
        <w:t>提交下述文件正本份，副本份；并在正本内附有对应于投标文件各册内容的电子文件一套（光盘形式，文件格式采用贵方认可的办公软件制作）。</w:t>
      </w:r>
    </w:p>
    <w:p>
      <w:pPr>
        <w:autoSpaceDE w:val="0"/>
        <w:autoSpaceDN w:val="0"/>
        <w:adjustRightInd w:val="0"/>
        <w:spacing w:line="360" w:lineRule="auto"/>
        <w:ind w:right="246" w:firstLine="420" w:firstLineChars="200"/>
        <w:rPr>
          <w:rFonts w:ascii="宋体" w:cs="宋体"/>
          <w:color w:val="auto"/>
          <w:szCs w:val="21"/>
          <w:highlight w:val="none"/>
        </w:rPr>
      </w:pPr>
      <w:r>
        <w:rPr>
          <w:rFonts w:hint="eastAsia" w:ascii="宋体" w:hAnsi="宋体" w:cs="宋体"/>
          <w:color w:val="auto"/>
          <w:szCs w:val="21"/>
          <w:highlight w:val="none"/>
        </w:rPr>
        <w:t>在此，我方声明如下：</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同意并接受招标文件的各项要求，遵守招标文件中的各项规定，按招标文件的要求提供报价。</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投标有效期为递交投标文件之日起</w:t>
      </w:r>
      <w:r>
        <w:rPr>
          <w:rFonts w:ascii="宋体" w:hAnsi="宋体" w:cs="宋体"/>
          <w:color w:val="auto"/>
          <w:szCs w:val="21"/>
          <w:highlight w:val="none"/>
          <w:u w:val="single"/>
        </w:rPr>
        <w:t xml:space="preserve"> 90 </w:t>
      </w:r>
      <w:r>
        <w:rPr>
          <w:rFonts w:hint="eastAsia" w:ascii="宋体" w:hAnsi="宋体" w:cs="宋体"/>
          <w:color w:val="auto"/>
          <w:szCs w:val="21"/>
          <w:highlight w:val="none"/>
        </w:rPr>
        <w:t>天，中标人投标有效期延至合同验收之日。</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我方已经详细地阅读了全部招标文件及其附件，包括澄清及参考文件</w:t>
      </w:r>
      <w:r>
        <w:rPr>
          <w:rFonts w:ascii="宋体" w:hAnsi="宋体" w:cs="宋体"/>
          <w:color w:val="auto"/>
          <w:szCs w:val="21"/>
          <w:highlight w:val="none"/>
        </w:rPr>
        <w:t>(</w:t>
      </w:r>
      <w:r>
        <w:rPr>
          <w:rFonts w:hint="eastAsia" w:ascii="宋体" w:hAnsi="宋体" w:cs="宋体"/>
          <w:color w:val="auto"/>
          <w:szCs w:val="21"/>
          <w:highlight w:val="none"/>
        </w:rPr>
        <w:t>如果有的话</w:t>
      </w:r>
      <w:r>
        <w:rPr>
          <w:rFonts w:ascii="宋体" w:hAnsi="宋体" w:cs="宋体"/>
          <w:color w:val="auto"/>
          <w:szCs w:val="21"/>
          <w:highlight w:val="none"/>
        </w:rPr>
        <w:t>)</w:t>
      </w:r>
      <w:r>
        <w:rPr>
          <w:rFonts w:hint="eastAsia" w:ascii="宋体" w:hAnsi="宋体" w:cs="宋体"/>
          <w:color w:val="auto"/>
          <w:szCs w:val="21"/>
          <w:highlight w:val="none"/>
        </w:rPr>
        <w:t>。我方已完全清晰理解招标文件的要求，不存在任何含糊不清和误解之处，同意放弃对这些文件所提出的异议和质疑的权利。</w:t>
      </w:r>
    </w:p>
    <w:p>
      <w:pPr>
        <w:spacing w:line="360" w:lineRule="auto"/>
        <w:ind w:firstLine="420" w:firstLineChars="200"/>
        <w:rPr>
          <w:b/>
          <w:bCs/>
          <w:color w:val="auto"/>
          <w:highlight w:val="none"/>
        </w:rPr>
      </w:pPr>
      <w:r>
        <w:rPr>
          <w:rFonts w:ascii="宋体" w:hAnsi="宋体" w:cs="宋体"/>
          <w:color w:val="auto"/>
          <w:szCs w:val="21"/>
          <w:highlight w:val="none"/>
        </w:rPr>
        <w:t>4.</w:t>
      </w:r>
      <w:r>
        <w:rPr>
          <w:rFonts w:hint="eastAsia" w:ascii="宋体" w:hAnsi="宋体" w:cs="宋体"/>
          <w:color w:val="auto"/>
          <w:szCs w:val="21"/>
          <w:highlight w:val="none"/>
        </w:rPr>
        <w:t>我方已毫无保留地向贵方提供一切所需的证明材料。</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我方承诺在本次投标文件中提供的一切文件，无论是原件还是复印件均为真实和准确的，绝无任何虚假、伪造和夸大的成份，否则，愿承担相应的后果和法律责任。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我方明白并同意在规定的开标时间之后、投标有效期之内若撤回投标，投标保证金将被贵方没收。</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我方完全服从和尊重评委会所作的评定结果，同时清楚理解到报价最低并非意味着必定获得中标资格。</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我方如果中标，将按照招标文件其附件，包括澄清及参考文件（如果有的话）的要求及我方投标承诺，按质、按量、按期履行全部合同责任和义务。</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9.</w:t>
      </w:r>
      <w:r>
        <w:rPr>
          <w:rFonts w:hint="eastAsia" w:ascii="宋体" w:hAnsi="宋体"/>
          <w:color w:val="auto"/>
          <w:szCs w:val="21"/>
          <w:highlight w:val="none"/>
        </w:rPr>
        <w:t>我方承诺未为本项目提供过整体设计、规范编制或者项目管理、监理、检测等服务。</w:t>
      </w:r>
    </w:p>
    <w:p>
      <w:pPr>
        <w:spacing w:line="360" w:lineRule="auto"/>
        <w:ind w:firstLine="420" w:firstLineChars="200"/>
        <w:rPr>
          <w:rFonts w:ascii="宋体" w:cs="宋体"/>
          <w:color w:val="auto"/>
          <w:szCs w:val="21"/>
          <w:highlight w:val="none"/>
        </w:rPr>
      </w:pPr>
      <w:r>
        <w:rPr>
          <w:rFonts w:hint="eastAsia" w:ascii="宋体" w:hAnsi="宋体"/>
          <w:color w:val="auto"/>
          <w:szCs w:val="21"/>
          <w:highlight w:val="none"/>
        </w:rPr>
        <w:t>10. 我方承诺：单位负责人为同一人或者存在直接控股、管理关系的不同供应商，不同时参加本采购项目投标。</w:t>
      </w:r>
    </w:p>
    <w:p>
      <w:pPr>
        <w:autoSpaceDE w:val="0"/>
        <w:autoSpaceDN w:val="0"/>
        <w:adjustRightInd w:val="0"/>
        <w:spacing w:line="360" w:lineRule="auto"/>
        <w:ind w:right="246"/>
        <w:rPr>
          <w:rFonts w:ascii="宋体" w:cs="宋体"/>
          <w:color w:val="auto"/>
          <w:szCs w:val="21"/>
          <w:highlight w:val="none"/>
          <w:u w:val="single"/>
        </w:rPr>
      </w:pPr>
      <w:r>
        <w:rPr>
          <w:rFonts w:hint="eastAsia" w:ascii="宋体" w:hAnsi="宋体" w:cs="宋体"/>
          <w:color w:val="auto"/>
          <w:szCs w:val="21"/>
          <w:highlight w:val="none"/>
        </w:rPr>
        <w:t>投标人名称</w:t>
      </w:r>
      <w:r>
        <w:rPr>
          <w:rFonts w:ascii="宋体" w:hAnsi="宋体" w:cs="宋体"/>
          <w:color w:val="auto"/>
          <w:szCs w:val="21"/>
          <w:highlight w:val="none"/>
        </w:rPr>
        <w:t>(</w:t>
      </w:r>
      <w:r>
        <w:rPr>
          <w:rFonts w:hint="eastAsia" w:ascii="宋体" w:hAnsi="宋体" w:cs="宋体"/>
          <w:color w:val="auto"/>
          <w:szCs w:val="21"/>
          <w:highlight w:val="none"/>
        </w:rPr>
        <w:t>公章</w:t>
      </w:r>
      <w:r>
        <w:rPr>
          <w:rFonts w:ascii="宋体" w:hAnsi="宋体" w:cs="宋体"/>
          <w:color w:val="auto"/>
          <w:szCs w:val="21"/>
          <w:highlight w:val="none"/>
        </w:rPr>
        <w:t>)</w:t>
      </w:r>
      <w:r>
        <w:rPr>
          <w:rFonts w:hint="eastAsia" w:ascii="宋体" w:hAnsi="宋体" w:cs="宋体"/>
          <w:color w:val="auto"/>
          <w:szCs w:val="21"/>
          <w:highlight w:val="none"/>
        </w:rPr>
        <w:t>：</w:t>
      </w:r>
    </w:p>
    <w:p>
      <w:pPr>
        <w:autoSpaceDE w:val="0"/>
        <w:autoSpaceDN w:val="0"/>
        <w:adjustRightInd w:val="0"/>
        <w:spacing w:line="360" w:lineRule="auto"/>
        <w:ind w:right="246"/>
        <w:rPr>
          <w:rFonts w:ascii="宋体" w:cs="宋体"/>
          <w:color w:val="auto"/>
          <w:szCs w:val="21"/>
          <w:highlight w:val="none"/>
          <w:u w:val="single"/>
        </w:rPr>
      </w:pPr>
      <w:r>
        <w:rPr>
          <w:rFonts w:hint="eastAsia" w:ascii="宋体" w:hAnsi="宋体" w:cs="宋体"/>
          <w:color w:val="auto"/>
          <w:szCs w:val="21"/>
          <w:highlight w:val="none"/>
        </w:rPr>
        <w:t>投标人（法定代表人授权代表）代表签字：</w:t>
      </w:r>
    </w:p>
    <w:p>
      <w:pPr>
        <w:autoSpaceDE w:val="0"/>
        <w:autoSpaceDN w:val="0"/>
        <w:adjustRightInd w:val="0"/>
        <w:spacing w:line="360" w:lineRule="auto"/>
        <w:ind w:right="246"/>
        <w:rPr>
          <w:rFonts w:ascii="宋体" w:cs="宋体"/>
          <w:color w:val="auto"/>
          <w:szCs w:val="21"/>
          <w:highlight w:val="none"/>
        </w:rPr>
      </w:pPr>
      <w:r>
        <w:rPr>
          <w:rFonts w:hint="eastAsia" w:ascii="宋体" w:hAnsi="宋体" w:cs="宋体"/>
          <w:color w:val="auto"/>
          <w:szCs w:val="21"/>
          <w:highlight w:val="none"/>
        </w:rPr>
        <w:t>地址：</w:t>
      </w:r>
    </w:p>
    <w:p>
      <w:pPr>
        <w:autoSpaceDE w:val="0"/>
        <w:autoSpaceDN w:val="0"/>
        <w:adjustRightInd w:val="0"/>
        <w:spacing w:line="360" w:lineRule="auto"/>
        <w:ind w:right="246"/>
        <w:rPr>
          <w:rFonts w:ascii="宋体" w:cs="宋体"/>
          <w:color w:val="auto"/>
          <w:szCs w:val="21"/>
          <w:highlight w:val="none"/>
        </w:rPr>
      </w:pPr>
      <w:r>
        <w:rPr>
          <w:rFonts w:hint="eastAsia" w:ascii="宋体" w:hAnsi="宋体" w:cs="宋体"/>
          <w:color w:val="auto"/>
          <w:szCs w:val="21"/>
          <w:highlight w:val="none"/>
        </w:rPr>
        <w:t>电话：</w:t>
      </w:r>
    </w:p>
    <w:p>
      <w:pPr>
        <w:autoSpaceDE w:val="0"/>
        <w:autoSpaceDN w:val="0"/>
        <w:adjustRightInd w:val="0"/>
        <w:spacing w:line="360" w:lineRule="auto"/>
        <w:ind w:right="246"/>
        <w:rPr>
          <w:rFonts w:ascii="宋体" w:cs="宋体"/>
          <w:color w:val="auto"/>
          <w:szCs w:val="21"/>
          <w:highlight w:val="none"/>
        </w:rPr>
      </w:pPr>
      <w:r>
        <w:rPr>
          <w:rFonts w:hint="eastAsia" w:ascii="宋体" w:hAnsi="宋体" w:cs="宋体"/>
          <w:color w:val="auto"/>
          <w:szCs w:val="21"/>
          <w:highlight w:val="none"/>
        </w:rPr>
        <w:t>传真：</w:t>
      </w:r>
    </w:p>
    <w:p>
      <w:pPr>
        <w:autoSpaceDE w:val="0"/>
        <w:autoSpaceDN w:val="0"/>
        <w:adjustRightInd w:val="0"/>
        <w:spacing w:line="360" w:lineRule="auto"/>
        <w:ind w:right="246"/>
        <w:rPr>
          <w:rFonts w:ascii="宋体" w:cs="宋体"/>
          <w:color w:val="auto"/>
          <w:szCs w:val="21"/>
          <w:highlight w:val="none"/>
        </w:rPr>
      </w:pPr>
      <w:r>
        <w:rPr>
          <w:rFonts w:hint="eastAsia" w:ascii="宋体" w:hAnsi="宋体" w:cs="宋体"/>
          <w:color w:val="auto"/>
          <w:szCs w:val="21"/>
          <w:highlight w:val="none"/>
        </w:rPr>
        <w:t>电子邮件：</w:t>
      </w:r>
    </w:p>
    <w:p>
      <w:pPr>
        <w:autoSpaceDE w:val="0"/>
        <w:autoSpaceDN w:val="0"/>
        <w:adjustRightInd w:val="0"/>
        <w:spacing w:line="360" w:lineRule="auto"/>
        <w:ind w:right="246"/>
        <w:rPr>
          <w:rFonts w:ascii="宋体" w:cs="宋体"/>
          <w:color w:val="auto"/>
          <w:szCs w:val="21"/>
          <w:highlight w:val="none"/>
        </w:rPr>
      </w:pPr>
      <w:r>
        <w:rPr>
          <w:rFonts w:hint="eastAsia" w:ascii="宋体" w:hAnsi="宋体" w:cs="宋体"/>
          <w:color w:val="auto"/>
          <w:szCs w:val="21"/>
          <w:highlight w:val="none"/>
        </w:rPr>
        <w:t>开户银行：</w:t>
      </w:r>
    </w:p>
    <w:p>
      <w:pPr>
        <w:autoSpaceDE w:val="0"/>
        <w:autoSpaceDN w:val="0"/>
        <w:adjustRightInd w:val="0"/>
        <w:spacing w:line="360" w:lineRule="auto"/>
        <w:ind w:right="246"/>
        <w:rPr>
          <w:rFonts w:ascii="宋体" w:cs="宋体"/>
          <w:color w:val="auto"/>
          <w:szCs w:val="21"/>
          <w:highlight w:val="none"/>
        </w:rPr>
      </w:pPr>
      <w:r>
        <w:rPr>
          <w:rFonts w:hint="eastAsia" w:ascii="宋体" w:hAnsi="宋体" w:cs="宋体"/>
          <w:color w:val="auto"/>
          <w:szCs w:val="21"/>
          <w:highlight w:val="none"/>
        </w:rPr>
        <w:t>账号：</w:t>
      </w:r>
    </w:p>
    <w:p>
      <w:pPr>
        <w:autoSpaceDE w:val="0"/>
        <w:autoSpaceDN w:val="0"/>
        <w:adjustRightInd w:val="0"/>
        <w:spacing w:line="360" w:lineRule="auto"/>
        <w:ind w:right="246"/>
        <w:rPr>
          <w:rFonts w:ascii="宋体" w:cs="宋体"/>
          <w:color w:val="auto"/>
          <w:szCs w:val="21"/>
          <w:highlight w:val="none"/>
        </w:rPr>
      </w:pPr>
      <w:r>
        <w:rPr>
          <w:rFonts w:hint="eastAsia" w:ascii="宋体" w:hAnsi="宋体" w:cs="宋体"/>
          <w:color w:val="auto"/>
          <w:szCs w:val="21"/>
          <w:highlight w:val="none"/>
        </w:rPr>
        <w:t>日期：</w:t>
      </w:r>
    </w:p>
    <w:p>
      <w:pPr>
        <w:pStyle w:val="7"/>
        <w:keepNext/>
        <w:keepLines/>
        <w:tabs>
          <w:tab w:val="left" w:pos="420"/>
        </w:tabs>
        <w:autoSpaceDE/>
        <w:adjustRightInd/>
        <w:snapToGrid/>
        <w:ind w:left="0" w:firstLine="0"/>
        <w:jc w:val="center"/>
        <w:rPr>
          <w:rFonts w:hAnsi="宋体" w:cs="宋体"/>
          <w:b/>
          <w:color w:val="auto"/>
          <w:szCs w:val="21"/>
          <w:highlight w:val="none"/>
        </w:rPr>
      </w:pPr>
      <w:r>
        <w:rPr>
          <w:rFonts w:hAnsi="宋体" w:cs="宋体"/>
          <w:snapToGrid w:val="0"/>
          <w:color w:val="auto"/>
          <w:szCs w:val="21"/>
          <w:highlight w:val="none"/>
        </w:rPr>
        <w:br w:type="page"/>
      </w:r>
      <w:r>
        <w:rPr>
          <w:rFonts w:hAnsi="宋体" w:cs="宋体"/>
          <w:b/>
          <w:bCs/>
          <w:snapToGrid w:val="0"/>
          <w:color w:val="auto"/>
          <w:szCs w:val="21"/>
          <w:highlight w:val="none"/>
        </w:rPr>
        <w:t xml:space="preserve">3.2 </w:t>
      </w:r>
      <w:r>
        <w:rPr>
          <w:rFonts w:hint="eastAsia" w:hAnsi="宋体" w:cs="宋体"/>
          <w:b/>
          <w:color w:val="auto"/>
          <w:sz w:val="24"/>
          <w:szCs w:val="24"/>
          <w:highlight w:val="none"/>
        </w:rPr>
        <w:t>法定代表人资格证明书及授权委托书</w:t>
      </w:r>
    </w:p>
    <w:p>
      <w:pPr>
        <w:spacing w:line="360" w:lineRule="auto"/>
        <w:jc w:val="center"/>
        <w:rPr>
          <w:rFonts w:ascii="宋体" w:cs="宋体"/>
          <w:b/>
          <w:color w:val="auto"/>
          <w:sz w:val="24"/>
          <w:szCs w:val="24"/>
          <w:highlight w:val="none"/>
        </w:rPr>
      </w:pPr>
      <w:r>
        <w:rPr>
          <w:rFonts w:hint="eastAsia" w:ascii="宋体" w:hAnsi="宋体" w:cs="宋体"/>
          <w:b/>
          <w:color w:val="auto"/>
          <w:sz w:val="24"/>
          <w:szCs w:val="24"/>
          <w:highlight w:val="none"/>
        </w:rPr>
        <w:t>（</w:t>
      </w:r>
      <w:r>
        <w:rPr>
          <w:rFonts w:ascii="宋体" w:hAnsi="宋体" w:cs="宋体"/>
          <w:b/>
          <w:color w:val="auto"/>
          <w:sz w:val="24"/>
          <w:szCs w:val="24"/>
          <w:highlight w:val="none"/>
        </w:rPr>
        <w:t>1</w:t>
      </w:r>
      <w:r>
        <w:rPr>
          <w:rFonts w:hint="eastAsia" w:ascii="宋体" w:hAnsi="宋体" w:cs="宋体"/>
          <w:b/>
          <w:color w:val="auto"/>
          <w:sz w:val="24"/>
          <w:szCs w:val="24"/>
          <w:highlight w:val="none"/>
        </w:rPr>
        <w:t>）法定代表人资格证明书</w:t>
      </w:r>
    </w:p>
    <w:p>
      <w:pPr>
        <w:spacing w:line="360" w:lineRule="auto"/>
        <w:jc w:val="center"/>
        <w:rPr>
          <w:rFonts w:ascii="宋体" w:cs="宋体"/>
          <w:b/>
          <w:color w:val="auto"/>
          <w:szCs w:val="21"/>
          <w:highlight w:val="none"/>
        </w:rPr>
      </w:pPr>
    </w:p>
    <w:p>
      <w:pPr>
        <w:spacing w:line="432" w:lineRule="auto"/>
        <w:rPr>
          <w:rFonts w:hint="eastAsia" w:ascii="宋体" w:eastAsia="宋体" w:cs="宋体"/>
          <w:b/>
          <w:color w:val="auto"/>
          <w:szCs w:val="21"/>
          <w:highlight w:val="none"/>
          <w:lang w:eastAsia="zh-CN"/>
        </w:rPr>
      </w:pPr>
      <w:r>
        <w:rPr>
          <w:rFonts w:hint="eastAsia" w:ascii="宋体" w:hAnsi="宋体" w:cs="宋体"/>
          <w:color w:val="auto"/>
          <w:szCs w:val="21"/>
          <w:highlight w:val="none"/>
        </w:rPr>
        <w:t>致：</w:t>
      </w:r>
      <w:r>
        <w:rPr>
          <w:rFonts w:hint="eastAsia" w:ascii="宋体" w:hAnsi="宋体" w:cs="宋体"/>
          <w:b/>
          <w:color w:val="auto"/>
          <w:szCs w:val="21"/>
          <w:highlight w:val="none"/>
          <w:u w:val="single"/>
          <w:lang w:eastAsia="zh-CN"/>
        </w:rPr>
        <w:t>中山市坦洲镇集体资产经营有限公司</w:t>
      </w:r>
      <w:r>
        <w:rPr>
          <w:rFonts w:ascii="宋体" w:hAnsi="宋体" w:cs="宋体"/>
          <w:b/>
          <w:color w:val="auto"/>
          <w:szCs w:val="21"/>
          <w:highlight w:val="none"/>
          <w:u w:val="single"/>
        </w:rPr>
        <w:t>/</w:t>
      </w:r>
      <w:r>
        <w:rPr>
          <w:rFonts w:hint="eastAsia" w:ascii="宋体" w:hAnsi="宋体" w:cs="宋体"/>
          <w:b/>
          <w:color w:val="auto"/>
          <w:szCs w:val="21"/>
          <w:highlight w:val="none"/>
          <w:u w:val="single"/>
          <w:lang w:eastAsia="zh-CN"/>
        </w:rPr>
        <w:t>中山市建业建筑工程监理有限公司</w:t>
      </w:r>
    </w:p>
    <w:p>
      <w:pPr>
        <w:spacing w:line="360" w:lineRule="auto"/>
        <w:rPr>
          <w:rFonts w:ascii="宋体" w:cs="宋体"/>
          <w:color w:val="auto"/>
          <w:szCs w:val="21"/>
          <w:highlight w:val="none"/>
        </w:rPr>
      </w:pPr>
    </w:p>
    <w:p>
      <w:pPr>
        <w:spacing w:line="360" w:lineRule="auto"/>
        <w:ind w:firstLine="210" w:firstLineChars="100"/>
        <w:rPr>
          <w:rFonts w:ascii="宋体" w:cs="宋体"/>
          <w:color w:val="auto"/>
          <w:szCs w:val="21"/>
          <w:highlight w:val="none"/>
        </w:rPr>
      </w:pPr>
      <w:r>
        <w:rPr>
          <w:rFonts w:hint="eastAsia" w:ascii="宋体" w:hAnsi="宋体" w:cs="宋体"/>
          <w:color w:val="auto"/>
          <w:szCs w:val="21"/>
          <w:highlight w:val="none"/>
        </w:rPr>
        <w:t>同志，现任我单位职务，为法定代表人，特此证明。</w:t>
      </w:r>
    </w:p>
    <w:p>
      <w:pPr>
        <w:spacing w:line="360" w:lineRule="auto"/>
        <w:ind w:firstLine="210" w:firstLineChars="100"/>
        <w:jc w:val="right"/>
        <w:rPr>
          <w:rFonts w:ascii="宋体" w:cs="宋体"/>
          <w:color w:val="auto"/>
          <w:szCs w:val="21"/>
          <w:highlight w:val="none"/>
        </w:rPr>
      </w:pPr>
    </w:p>
    <w:p>
      <w:pPr>
        <w:spacing w:line="360" w:lineRule="auto"/>
        <w:ind w:firstLine="210" w:firstLineChars="100"/>
        <w:rPr>
          <w:rFonts w:ascii="宋体" w:cs="宋体"/>
          <w:color w:val="auto"/>
          <w:szCs w:val="21"/>
          <w:highlight w:val="none"/>
        </w:rPr>
      </w:pPr>
      <w:r>
        <w:rPr>
          <w:rFonts w:hint="eastAsia" w:ascii="宋体" w:hAnsi="宋体" w:cs="宋体"/>
          <w:color w:val="auto"/>
          <w:szCs w:val="21"/>
          <w:highlight w:val="none"/>
        </w:rPr>
        <w:t>有效期限：至年月日签发日期：单位：（盖章）</w:t>
      </w:r>
    </w:p>
    <w:p>
      <w:pPr>
        <w:spacing w:line="360" w:lineRule="auto"/>
        <w:ind w:firstLine="210" w:firstLineChars="100"/>
        <w:rPr>
          <w:rFonts w:ascii="宋体" w:cs="宋体"/>
          <w:color w:val="auto"/>
          <w:szCs w:val="21"/>
          <w:highlight w:val="none"/>
        </w:rPr>
      </w:pPr>
    </w:p>
    <w:p>
      <w:pPr>
        <w:spacing w:line="360" w:lineRule="auto"/>
        <w:ind w:firstLine="210" w:firstLineChars="100"/>
        <w:rPr>
          <w:rFonts w:ascii="宋体" w:cs="宋体"/>
          <w:color w:val="auto"/>
          <w:szCs w:val="21"/>
          <w:highlight w:val="none"/>
        </w:rPr>
      </w:pPr>
      <w:r>
        <w:rPr>
          <w:rFonts w:hint="eastAsia" w:ascii="宋体" w:hAnsi="宋体" w:cs="宋体"/>
          <w:color w:val="auto"/>
          <w:szCs w:val="21"/>
          <w:highlight w:val="none"/>
        </w:rPr>
        <w:t>附：代表人性别：年龄：身份证号码：</w:t>
      </w:r>
    </w:p>
    <w:p>
      <w:pPr>
        <w:spacing w:line="360" w:lineRule="auto"/>
        <w:ind w:firstLine="210" w:firstLineChars="100"/>
        <w:rPr>
          <w:rFonts w:ascii="宋体" w:cs="宋体"/>
          <w:color w:val="auto"/>
          <w:szCs w:val="21"/>
          <w:highlight w:val="none"/>
        </w:rPr>
      </w:pPr>
      <w:r>
        <w:rPr>
          <w:rFonts w:hint="eastAsia" w:ascii="宋体" w:hAnsi="宋体" w:cs="宋体"/>
          <w:color w:val="auto"/>
          <w:szCs w:val="21"/>
          <w:highlight w:val="none"/>
        </w:rPr>
        <w:t>联系电话：</w:t>
      </w:r>
    </w:p>
    <w:p>
      <w:pPr>
        <w:spacing w:line="360" w:lineRule="auto"/>
        <w:ind w:firstLine="210" w:firstLineChars="100"/>
        <w:rPr>
          <w:rFonts w:ascii="宋体" w:cs="宋体"/>
          <w:color w:val="auto"/>
          <w:szCs w:val="21"/>
          <w:highlight w:val="none"/>
        </w:rPr>
      </w:pPr>
      <w:r>
        <w:rPr>
          <w:rFonts w:hint="eastAsia" w:ascii="宋体" w:hAnsi="宋体" w:cs="宋体"/>
          <w:color w:val="auto"/>
          <w:szCs w:val="21"/>
          <w:highlight w:val="none"/>
        </w:rPr>
        <w:t>营业执照号码：经济性质：</w:t>
      </w:r>
    </w:p>
    <w:p>
      <w:pPr>
        <w:spacing w:line="360" w:lineRule="auto"/>
        <w:ind w:firstLine="210" w:firstLineChars="100"/>
        <w:rPr>
          <w:rFonts w:ascii="宋体" w:cs="宋体"/>
          <w:color w:val="auto"/>
          <w:szCs w:val="21"/>
          <w:highlight w:val="none"/>
        </w:rPr>
      </w:pPr>
      <w:r>
        <w:rPr>
          <w:rFonts w:hint="eastAsia" w:ascii="宋体" w:hAnsi="宋体" w:cs="宋体"/>
          <w:color w:val="auto"/>
          <w:szCs w:val="21"/>
          <w:highlight w:val="none"/>
        </w:rPr>
        <w:t>主营（产）：</w:t>
      </w:r>
    </w:p>
    <w:p>
      <w:pPr>
        <w:spacing w:line="360" w:lineRule="auto"/>
        <w:ind w:firstLine="210" w:firstLineChars="100"/>
        <w:rPr>
          <w:rFonts w:ascii="宋体" w:cs="宋体"/>
          <w:color w:val="auto"/>
          <w:szCs w:val="21"/>
          <w:highlight w:val="none"/>
        </w:rPr>
      </w:pPr>
      <w:r>
        <w:rPr>
          <w:rFonts w:hint="eastAsia" w:ascii="宋体" w:hAnsi="宋体" w:cs="宋体"/>
          <w:color w:val="auto"/>
          <w:szCs w:val="21"/>
          <w:highlight w:val="none"/>
        </w:rPr>
        <w:t>兼营（产）：</w:t>
      </w:r>
    </w:p>
    <w:p>
      <w:pPr>
        <w:spacing w:line="360" w:lineRule="auto"/>
        <w:ind w:firstLine="210" w:firstLineChars="100"/>
        <w:rPr>
          <w:rFonts w:ascii="宋体" w:cs="宋体"/>
          <w:color w:val="auto"/>
          <w:szCs w:val="21"/>
          <w:highlight w:val="none"/>
        </w:rPr>
      </w:pPr>
      <w:r>
        <w:rPr>
          <w:rFonts w:hint="eastAsia" w:ascii="宋体" w:hAnsi="宋体" w:cs="宋体"/>
          <w:color w:val="auto"/>
          <w:szCs w:val="21"/>
          <w:highlight w:val="none"/>
        </w:rPr>
        <w:t>进口物品经营许可证号码：</w:t>
      </w:r>
    </w:p>
    <w:p>
      <w:pPr>
        <w:spacing w:line="360" w:lineRule="auto"/>
        <w:ind w:firstLine="210" w:firstLineChars="100"/>
        <w:rPr>
          <w:rFonts w:ascii="宋体" w:cs="宋体"/>
          <w:color w:val="auto"/>
          <w:szCs w:val="21"/>
          <w:highlight w:val="none"/>
        </w:rPr>
      </w:pPr>
      <w:r>
        <w:rPr>
          <w:rFonts w:hint="eastAsia" w:ascii="宋体" w:hAnsi="宋体" w:cs="宋体"/>
          <w:color w:val="auto"/>
          <w:szCs w:val="21"/>
          <w:highlight w:val="none"/>
        </w:rPr>
        <w:t>主营：</w:t>
      </w:r>
    </w:p>
    <w:p>
      <w:pPr>
        <w:spacing w:line="360" w:lineRule="auto"/>
        <w:ind w:firstLine="210" w:firstLineChars="100"/>
        <w:rPr>
          <w:rFonts w:ascii="宋体" w:cs="宋体"/>
          <w:color w:val="auto"/>
          <w:szCs w:val="21"/>
          <w:highlight w:val="none"/>
        </w:rPr>
      </w:pPr>
      <w:r>
        <w:rPr>
          <w:rFonts w:hint="eastAsia" w:ascii="宋体" w:hAnsi="宋体" w:cs="宋体"/>
          <w:color w:val="auto"/>
          <w:szCs w:val="21"/>
          <w:highlight w:val="none"/>
        </w:rPr>
        <w:t>兼营：</w:t>
      </w:r>
    </w:p>
    <w:p>
      <w:pPr>
        <w:spacing w:line="360" w:lineRule="auto"/>
        <w:rPr>
          <w:rFonts w:asci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1.</w:t>
      </w:r>
      <w:r>
        <w:rPr>
          <w:rFonts w:hint="eastAsia" w:ascii="宋体" w:hAnsi="宋体" w:cs="宋体"/>
          <w:color w:val="auto"/>
          <w:szCs w:val="21"/>
          <w:highlight w:val="none"/>
        </w:rPr>
        <w:t>法定代表人为企业事业单位、国家机关、社会团体的主要行政负责人。</w:t>
      </w:r>
    </w:p>
    <w:p>
      <w:pPr>
        <w:spacing w:line="360" w:lineRule="auto"/>
        <w:ind w:firstLine="630" w:firstLineChars="3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内容必须填写真实、清楚、涂改无效，不得转让、买卖。</w:t>
      </w:r>
    </w:p>
    <w:p>
      <w:pPr>
        <w:spacing w:line="360" w:lineRule="auto"/>
        <w:ind w:firstLine="630" w:firstLineChars="3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将此证明书提交对方作为合同附件</w:t>
      </w:r>
      <w:r>
        <w:rPr>
          <w:rFonts w:hint="eastAsia" w:ascii="宋体" w:hAnsi="宋体" w:cs="宋体"/>
          <w:b/>
          <w:color w:val="auto"/>
          <w:szCs w:val="21"/>
          <w:highlight w:val="none"/>
        </w:rPr>
        <w:t>。</w:t>
      </w:r>
    </w:p>
    <w:p>
      <w:pPr>
        <w:spacing w:line="360" w:lineRule="auto"/>
        <w:rPr>
          <w:rFonts w:ascii="宋体" w:cs="宋体"/>
          <w:b/>
          <w:color w:val="auto"/>
          <w:szCs w:val="21"/>
          <w:highlight w:val="none"/>
        </w:rPr>
      </w:pPr>
      <w:r>
        <w:rPr>
          <w:rFonts w:ascii="宋体" w:hAnsi="宋体" w:cs="宋体"/>
          <w:b/>
          <w:color w:val="auto"/>
          <w:szCs w:val="21"/>
          <w:highlight w:val="none"/>
        </w:rPr>
        <w:t>(</w:t>
      </w:r>
      <w:r>
        <w:rPr>
          <w:rFonts w:hint="eastAsia" w:ascii="宋体" w:hAnsi="宋体" w:cs="宋体"/>
          <w:b/>
          <w:color w:val="auto"/>
          <w:szCs w:val="21"/>
          <w:highlight w:val="none"/>
        </w:rPr>
        <w:t>为避免废标，请投标人务必提供本附件</w:t>
      </w:r>
      <w:r>
        <w:rPr>
          <w:rFonts w:ascii="宋体" w:hAnsi="宋体" w:cs="宋体"/>
          <w:b/>
          <w:color w:val="auto"/>
          <w:szCs w:val="21"/>
          <w:highlight w:val="none"/>
        </w:rPr>
        <w:t>)</w:t>
      </w:r>
    </w:p>
    <w:p>
      <w:pPr>
        <w:spacing w:line="360" w:lineRule="auto"/>
        <w:rPr>
          <w:rFonts w:ascii="宋体" w:cs="宋体"/>
          <w:b/>
          <w:color w:val="auto"/>
          <w:szCs w:val="21"/>
          <w:highlight w:val="none"/>
        </w:rPr>
      </w:pPr>
    </w:p>
    <w:p>
      <w:pPr>
        <w:spacing w:line="360" w:lineRule="auto"/>
        <w:rPr>
          <w:rFonts w:ascii="宋体" w:cs="宋体"/>
          <w:b/>
          <w:color w:val="auto"/>
          <w:szCs w:val="21"/>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1531620</wp:posOffset>
                </wp:positionH>
                <wp:positionV relativeFrom="paragraph">
                  <wp:posOffset>42545</wp:posOffset>
                </wp:positionV>
                <wp:extent cx="2697480" cy="1723390"/>
                <wp:effectExtent l="4445" t="4445" r="22225" b="5715"/>
                <wp:wrapNone/>
                <wp:docPr id="1" name="自选图形 8"/>
                <wp:cNvGraphicFramePr/>
                <a:graphic xmlns:a="http://schemas.openxmlformats.org/drawingml/2006/main">
                  <a:graphicData uri="http://schemas.microsoft.com/office/word/2010/wordprocessingShape">
                    <wps:wsp>
                      <wps:cNvSpPr/>
                      <wps:spPr>
                        <a:xfrm>
                          <a:off x="0" y="0"/>
                          <a:ext cx="2697480" cy="17233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wps:txbx>
                      <wps:bodyPr upright="1"/>
                    </wps:wsp>
                  </a:graphicData>
                </a:graphic>
              </wp:anchor>
            </w:drawing>
          </mc:Choice>
          <mc:Fallback>
            <w:pict>
              <v:shape id="自选图形 8" o:spid="_x0000_s1026" o:spt="176" type="#_x0000_t176" style="position:absolute;left:0pt;margin-left:120.6pt;margin-top:3.35pt;height:135.7pt;width:212.4pt;z-index:251674624;mso-width-relative:page;mso-height-relative:page;" fillcolor="#FFFFFF" filled="t" stroked="t" coordsize="21600,21600" o:gfxdata="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&#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0OSl1gAAAAkBAAAPAAAAAAAAAAEAIAAAACIAAABk&#10;cnMvZG93bnJldi54bWxQSwECFAAUAAAACACHTuJAyOqwzggCAAAFBAAADgAAAAAAAAABACAAAAAl&#10;AQAAZHJzL2Uyb0RvYy54bWxQSwUGAAAAAAYABgBZAQAAn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v:textbox>
              </v:shape>
            </w:pict>
          </mc:Fallback>
        </mc:AlternateContent>
      </w:r>
    </w:p>
    <w:p>
      <w:pPr>
        <w:spacing w:line="360" w:lineRule="auto"/>
        <w:rPr>
          <w:rFonts w:ascii="宋体" w:cs="宋体"/>
          <w:b/>
          <w:color w:val="auto"/>
          <w:szCs w:val="21"/>
          <w:highlight w:val="none"/>
        </w:rPr>
      </w:pPr>
    </w:p>
    <w:p>
      <w:pPr>
        <w:spacing w:line="360" w:lineRule="auto"/>
        <w:jc w:val="center"/>
        <w:rPr>
          <w:rFonts w:ascii="宋体" w:cs="宋体"/>
          <w:b/>
          <w:color w:val="auto"/>
          <w:sz w:val="24"/>
          <w:szCs w:val="24"/>
          <w:highlight w:val="none"/>
        </w:rPr>
      </w:pPr>
      <w:r>
        <w:rPr>
          <w:rFonts w:ascii="宋体" w:cs="宋体"/>
          <w:b/>
          <w:color w:val="auto"/>
          <w:szCs w:val="21"/>
          <w:highlight w:val="none"/>
        </w:rPr>
        <w:br w:type="page"/>
      </w:r>
      <w:r>
        <w:rPr>
          <w:rFonts w:hint="eastAsia" w:ascii="宋体" w:hAnsi="宋体" w:cs="宋体"/>
          <w:b/>
          <w:color w:val="auto"/>
          <w:sz w:val="24"/>
          <w:szCs w:val="24"/>
          <w:highlight w:val="none"/>
        </w:rPr>
        <w:t>（</w:t>
      </w:r>
      <w:r>
        <w:rPr>
          <w:rFonts w:ascii="宋体" w:hAnsi="宋体" w:cs="宋体"/>
          <w:b/>
          <w:color w:val="auto"/>
          <w:sz w:val="24"/>
          <w:szCs w:val="24"/>
          <w:highlight w:val="none"/>
        </w:rPr>
        <w:t>2</w:t>
      </w:r>
      <w:r>
        <w:rPr>
          <w:rFonts w:hint="eastAsia" w:ascii="宋体" w:hAnsi="宋体" w:cs="宋体"/>
          <w:b/>
          <w:color w:val="auto"/>
          <w:sz w:val="24"/>
          <w:szCs w:val="24"/>
          <w:highlight w:val="none"/>
        </w:rPr>
        <w:t>）法定代表人授权委托书</w:t>
      </w:r>
    </w:p>
    <w:p>
      <w:pPr>
        <w:spacing w:line="432" w:lineRule="auto"/>
        <w:rPr>
          <w:rFonts w:hint="eastAsia" w:ascii="宋体" w:eastAsia="宋体" w:cs="宋体"/>
          <w:b/>
          <w:color w:val="auto"/>
          <w:szCs w:val="21"/>
          <w:highlight w:val="none"/>
          <w:lang w:eastAsia="zh-CN"/>
        </w:rPr>
      </w:pPr>
      <w:r>
        <w:rPr>
          <w:rFonts w:hint="eastAsia" w:ascii="宋体" w:hAnsi="宋体" w:cs="宋体"/>
          <w:color w:val="auto"/>
          <w:szCs w:val="21"/>
          <w:highlight w:val="none"/>
        </w:rPr>
        <w:t>致：</w:t>
      </w:r>
      <w:r>
        <w:rPr>
          <w:rFonts w:hint="eastAsia" w:ascii="宋体" w:hAnsi="宋体" w:cs="宋体"/>
          <w:b/>
          <w:color w:val="auto"/>
          <w:szCs w:val="21"/>
          <w:highlight w:val="none"/>
          <w:u w:val="single"/>
          <w:lang w:eastAsia="zh-CN"/>
        </w:rPr>
        <w:t>中山市坦洲镇集体资产经营有限公司</w:t>
      </w:r>
      <w:r>
        <w:rPr>
          <w:rFonts w:ascii="宋体" w:hAnsi="宋体" w:cs="宋体"/>
          <w:b/>
          <w:color w:val="auto"/>
          <w:szCs w:val="21"/>
          <w:highlight w:val="none"/>
          <w:u w:val="single"/>
        </w:rPr>
        <w:t>/</w:t>
      </w:r>
      <w:r>
        <w:rPr>
          <w:rFonts w:hint="eastAsia" w:ascii="宋体" w:hAnsi="宋体" w:cs="宋体"/>
          <w:b/>
          <w:color w:val="auto"/>
          <w:szCs w:val="21"/>
          <w:highlight w:val="none"/>
          <w:u w:val="single"/>
          <w:lang w:eastAsia="zh-CN"/>
        </w:rPr>
        <w:t>中山市建业建筑工程监理有限公司</w:t>
      </w:r>
    </w:p>
    <w:p>
      <w:pPr>
        <w:spacing w:line="360" w:lineRule="auto"/>
        <w:rPr>
          <w:rFonts w:ascii="宋体" w:cs="宋体"/>
          <w:color w:val="auto"/>
          <w:szCs w:val="21"/>
          <w:highlight w:val="none"/>
        </w:rPr>
      </w:pP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兹授权同志，为我方签订经济合同及办理其他事务代理人，其权限是：。</w:t>
      </w:r>
    </w:p>
    <w:p>
      <w:pPr>
        <w:spacing w:line="360" w:lineRule="auto"/>
        <w:rPr>
          <w:rFonts w:ascii="宋体" w:cs="宋体"/>
          <w:color w:val="auto"/>
          <w:szCs w:val="21"/>
          <w:highlight w:val="none"/>
        </w:rPr>
      </w:pPr>
      <w:r>
        <w:rPr>
          <w:rFonts w:hint="eastAsia" w:ascii="宋体" w:hAnsi="宋体" w:cs="宋体"/>
          <w:color w:val="auto"/>
          <w:szCs w:val="21"/>
          <w:highlight w:val="none"/>
        </w:rPr>
        <w:t>授权单位：（盖章）法定代表人：（签名）</w:t>
      </w:r>
    </w:p>
    <w:p>
      <w:pPr>
        <w:spacing w:line="360" w:lineRule="auto"/>
        <w:rPr>
          <w:rFonts w:ascii="宋体" w:cs="宋体"/>
          <w:color w:val="auto"/>
          <w:szCs w:val="21"/>
          <w:highlight w:val="none"/>
        </w:rPr>
      </w:pPr>
      <w:r>
        <w:rPr>
          <w:rFonts w:hint="eastAsia" w:ascii="宋体" w:hAnsi="宋体" w:cs="宋体"/>
          <w:color w:val="auto"/>
          <w:szCs w:val="21"/>
          <w:highlight w:val="none"/>
        </w:rPr>
        <w:t>有效期限：至年月日签发日期：</w:t>
      </w:r>
    </w:p>
    <w:p>
      <w:pPr>
        <w:spacing w:line="360" w:lineRule="auto"/>
        <w:rPr>
          <w:rFonts w:ascii="宋体" w:cs="宋体"/>
          <w:color w:val="auto"/>
          <w:szCs w:val="21"/>
          <w:highlight w:val="none"/>
        </w:rPr>
      </w:pPr>
      <w:r>
        <w:rPr>
          <w:rFonts w:hint="eastAsia" w:ascii="宋体" w:hAnsi="宋体" w:cs="宋体"/>
          <w:color w:val="auto"/>
          <w:szCs w:val="21"/>
          <w:highlight w:val="none"/>
        </w:rPr>
        <w:t>附：代理人性别：年龄：职务：身份证号码：</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联系电话：</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营业执照号码：经济性质：</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主营（产）：</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兼营（产）：</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进口物品经营许可证号码：</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主营：</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兼营：</w:t>
      </w:r>
    </w:p>
    <w:p>
      <w:pPr>
        <w:spacing w:line="360" w:lineRule="auto"/>
        <w:ind w:firstLine="420" w:firstLineChars="200"/>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1.</w:t>
      </w:r>
      <w:r>
        <w:rPr>
          <w:rFonts w:hint="eastAsia" w:ascii="宋体" w:hAnsi="宋体" w:cs="宋体"/>
          <w:color w:val="auto"/>
          <w:szCs w:val="21"/>
          <w:highlight w:val="none"/>
        </w:rPr>
        <w:t>法定代表人为企业事业单位、国家机关、社会团体的主要行政负责人。</w:t>
      </w:r>
    </w:p>
    <w:p>
      <w:pPr>
        <w:spacing w:line="360" w:lineRule="auto"/>
        <w:ind w:left="850" w:leftChars="305" w:hanging="210" w:hangingChars="1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内容必须填写真实、清楚、涂改无效，不得转让、买卖。</w:t>
      </w:r>
    </w:p>
    <w:p>
      <w:pPr>
        <w:spacing w:line="360" w:lineRule="auto"/>
        <w:ind w:left="850" w:leftChars="305" w:hanging="210" w:hangingChars="1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将此证明书提交对方作为合同附件。</w:t>
      </w:r>
    </w:p>
    <w:p>
      <w:pPr>
        <w:spacing w:line="360" w:lineRule="auto"/>
        <w:ind w:left="850" w:leftChars="305" w:hanging="210" w:hangingChars="1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授权权限：全权代表本公司参与上述采购项目的投标，负责提供与签署确认一切文书资料，以及向贵方递交的任何补充承诺。</w:t>
      </w:r>
    </w:p>
    <w:p>
      <w:pPr>
        <w:spacing w:line="360" w:lineRule="auto"/>
        <w:ind w:left="850" w:leftChars="305" w:hanging="210" w:hangingChars="1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有效期限：与本公司投标文件中标注的投标有效期相同，自本单位盖公章之日起生效。</w:t>
      </w:r>
    </w:p>
    <w:p>
      <w:pPr>
        <w:spacing w:line="360" w:lineRule="auto"/>
        <w:ind w:left="850" w:leftChars="305" w:hanging="210" w:hangingChars="1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投标签字代表为法定代表人，则本表不适用。</w:t>
      </w:r>
    </w:p>
    <w:p>
      <w:pPr>
        <w:spacing w:line="360" w:lineRule="auto"/>
        <w:ind w:left="1050" w:leftChars="400" w:hanging="210" w:hangingChars="100"/>
        <w:rPr>
          <w:rFonts w:ascii="宋体" w:cs="宋体"/>
          <w:color w:val="auto"/>
          <w:szCs w:val="21"/>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1485900</wp:posOffset>
                </wp:positionH>
                <wp:positionV relativeFrom="paragraph">
                  <wp:posOffset>58420</wp:posOffset>
                </wp:positionV>
                <wp:extent cx="2842895" cy="1755140"/>
                <wp:effectExtent l="4445" t="4445" r="10160" b="12065"/>
                <wp:wrapNone/>
                <wp:docPr id="2" name="流程图: 可选过程 4"/>
                <wp:cNvGraphicFramePr/>
                <a:graphic xmlns:a="http://schemas.openxmlformats.org/drawingml/2006/main">
                  <a:graphicData uri="http://schemas.microsoft.com/office/word/2010/wordprocessingShape">
                    <wps:wsp>
                      <wps:cNvSpPr/>
                      <wps:spPr>
                        <a:xfrm>
                          <a:off x="0" y="0"/>
                          <a:ext cx="2842895" cy="17551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代理人身份证正反面复印件</w:t>
                            </w:r>
                          </w:p>
                        </w:txbxContent>
                      </wps:txbx>
                      <wps:bodyPr upright="1"/>
                    </wps:wsp>
                  </a:graphicData>
                </a:graphic>
              </wp:anchor>
            </w:drawing>
          </mc:Choice>
          <mc:Fallback>
            <w:pict>
              <v:shape id="流程图: 可选过程 4" o:spid="_x0000_s1026" o:spt="176" type="#_x0000_t176" style="position:absolute;left:0pt;margin-left:117pt;margin-top:4.6pt;height:138.2pt;width:223.85pt;z-index:251675648;mso-width-relative:page;mso-height-relative:page;" fillcolor="#FFFFFF" filled="t" stroked="t" coordsize="21600,21600" o:gfxdata="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1frdcAAAAJAQAADwAAAAAA&#10;AAABACAAAAAiAAAAZHJzL2Rvd25yZXYueG1sUEsBAhQAFAAAAAgAh07iQBVfaVsUAgAAEAQAAA4A&#10;AAAAAAAAAQAgAAAAJg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代理人身份证正反面复印件</w:t>
                      </w:r>
                    </w:p>
                  </w:txbxContent>
                </v:textbox>
              </v:shape>
            </w:pict>
          </mc:Fallback>
        </mc:AlternateConten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pStyle w:val="53"/>
        <w:ind w:firstLine="240"/>
        <w:rPr>
          <w:color w:val="auto"/>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pStyle w:val="2"/>
      </w:pPr>
    </w:p>
    <w:p>
      <w:pPr>
        <w:spacing w:line="360" w:lineRule="auto"/>
        <w:rPr>
          <w:rFonts w:ascii="宋体" w:cs="宋体"/>
          <w:color w:val="auto"/>
          <w:szCs w:val="21"/>
          <w:highlight w:val="none"/>
        </w:rPr>
      </w:pPr>
    </w:p>
    <w:p>
      <w:pPr>
        <w:pStyle w:val="7"/>
        <w:keepNext/>
        <w:keepLines/>
        <w:tabs>
          <w:tab w:val="left" w:pos="420"/>
        </w:tabs>
        <w:autoSpaceDE/>
        <w:adjustRightInd/>
        <w:snapToGrid/>
        <w:ind w:left="0" w:firstLine="0"/>
        <w:jc w:val="center"/>
        <w:rPr>
          <w:rFonts w:hAnsi="宋体" w:cs="宋体"/>
          <w:b/>
          <w:color w:val="auto"/>
          <w:sz w:val="24"/>
          <w:szCs w:val="24"/>
          <w:highlight w:val="none"/>
        </w:rPr>
      </w:pPr>
      <w:r>
        <w:rPr>
          <w:rFonts w:hAnsi="宋体" w:cs="宋体"/>
          <w:b/>
          <w:color w:val="auto"/>
          <w:sz w:val="24"/>
          <w:szCs w:val="24"/>
          <w:highlight w:val="none"/>
        </w:rPr>
        <w:t xml:space="preserve">3.3 </w:t>
      </w:r>
      <w:r>
        <w:rPr>
          <w:rFonts w:hint="eastAsia" w:hAnsi="宋体" w:cs="宋体"/>
          <w:b/>
          <w:color w:val="auto"/>
          <w:sz w:val="24"/>
          <w:szCs w:val="24"/>
          <w:highlight w:val="none"/>
        </w:rPr>
        <w:t>联合体共同投标协议书（本项目不适用）</w:t>
      </w:r>
    </w:p>
    <w:p>
      <w:pPr>
        <w:pStyle w:val="5"/>
        <w:rPr>
          <w:color w:val="auto"/>
          <w:highlight w:val="none"/>
        </w:rPr>
      </w:pPr>
    </w:p>
    <w:p>
      <w:pPr>
        <w:spacing w:line="360" w:lineRule="auto"/>
        <w:rPr>
          <w:rFonts w:ascii="宋体" w:cs="宋体"/>
          <w:color w:val="auto"/>
          <w:szCs w:val="21"/>
          <w:highlight w:val="none"/>
          <w:u w:val="single"/>
        </w:rPr>
      </w:pPr>
      <w:r>
        <w:rPr>
          <w:rFonts w:hint="eastAsia" w:ascii="宋体" w:hAnsi="宋体" w:cs="宋体"/>
          <w:color w:val="auto"/>
          <w:kern w:val="10"/>
          <w:szCs w:val="21"/>
          <w:highlight w:val="none"/>
        </w:rPr>
        <w:t>立约方：</w:t>
      </w:r>
      <w:r>
        <w:rPr>
          <w:rFonts w:hint="eastAsia" w:ascii="宋体" w:hAnsi="宋体" w:cs="宋体"/>
          <w:color w:val="auto"/>
          <w:szCs w:val="21"/>
          <w:highlight w:val="none"/>
          <w:u w:val="single"/>
        </w:rPr>
        <w:t>（甲公司全称）</w:t>
      </w:r>
    </w:p>
    <w:p>
      <w:pPr>
        <w:spacing w:line="360" w:lineRule="auto"/>
        <w:ind w:firstLine="945" w:firstLineChars="450"/>
        <w:rPr>
          <w:rFonts w:ascii="宋体" w:cs="宋体"/>
          <w:color w:val="auto"/>
          <w:szCs w:val="21"/>
          <w:highlight w:val="none"/>
          <w:u w:val="single"/>
        </w:rPr>
      </w:pPr>
      <w:r>
        <w:rPr>
          <w:rFonts w:hint="eastAsia" w:ascii="宋体" w:hAnsi="宋体" w:cs="宋体"/>
          <w:color w:val="auto"/>
          <w:szCs w:val="21"/>
          <w:highlight w:val="none"/>
          <w:u w:val="single"/>
        </w:rPr>
        <w:t>（乙公司全称）</w:t>
      </w:r>
    </w:p>
    <w:p>
      <w:pPr>
        <w:spacing w:line="360" w:lineRule="auto"/>
        <w:ind w:firstLine="840" w:firstLineChars="400"/>
        <w:rPr>
          <w:rFonts w:ascii="宋体" w:cs="宋体"/>
          <w:color w:val="auto"/>
          <w:szCs w:val="21"/>
          <w:highlight w:val="none"/>
          <w:u w:val="single"/>
        </w:rPr>
      </w:pPr>
      <w:r>
        <w:rPr>
          <w:rFonts w:hint="eastAsia" w:ascii="宋体" w:hAnsi="宋体" w:cs="宋体"/>
          <w:color w:val="auto"/>
          <w:szCs w:val="21"/>
          <w:highlight w:val="none"/>
          <w:u w:val="single"/>
        </w:rPr>
        <w:t>（……公司全称）</w:t>
      </w:r>
    </w:p>
    <w:p>
      <w:pPr>
        <w:spacing w:line="360" w:lineRule="auto"/>
        <w:rPr>
          <w:rFonts w:ascii="宋体" w:cs="宋体"/>
          <w:color w:val="auto"/>
          <w:szCs w:val="21"/>
          <w:highlight w:val="none"/>
        </w:rPr>
      </w:pP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u w:val="single"/>
        </w:rPr>
        <w:t>（甲公司全称）</w:t>
      </w:r>
      <w:r>
        <w:rPr>
          <w:rFonts w:hint="eastAsia" w:ascii="宋体" w:hAnsi="宋体" w:cs="宋体"/>
          <w:color w:val="auto"/>
          <w:szCs w:val="21"/>
          <w:highlight w:val="none"/>
        </w:rPr>
        <w:t>、</w:t>
      </w:r>
      <w:r>
        <w:rPr>
          <w:rFonts w:hint="eastAsia" w:ascii="宋体" w:hAnsi="宋体" w:cs="宋体"/>
          <w:color w:val="auto"/>
          <w:szCs w:val="21"/>
          <w:highlight w:val="none"/>
          <w:u w:val="single"/>
        </w:rPr>
        <w:t>（乙公司全称）</w:t>
      </w:r>
      <w:r>
        <w:rPr>
          <w:rFonts w:hint="eastAsia" w:ascii="宋体" w:hAnsi="宋体" w:cs="宋体"/>
          <w:color w:val="auto"/>
          <w:szCs w:val="21"/>
          <w:highlight w:val="none"/>
        </w:rPr>
        <w:t>，</w:t>
      </w:r>
      <w:r>
        <w:rPr>
          <w:rFonts w:hint="eastAsia" w:ascii="宋体" w:hAnsi="宋体" w:cs="宋体"/>
          <w:color w:val="auto"/>
          <w:szCs w:val="21"/>
          <w:highlight w:val="none"/>
          <w:u w:val="single"/>
        </w:rPr>
        <w:t>（……公司全称）</w:t>
      </w:r>
      <w:r>
        <w:rPr>
          <w:rFonts w:hint="eastAsia" w:ascii="宋体" w:hAnsi="宋体" w:cs="宋体"/>
          <w:color w:val="auto"/>
          <w:szCs w:val="21"/>
          <w:highlight w:val="none"/>
        </w:rPr>
        <w:t>自愿组成联合体，</w:t>
      </w:r>
      <w:r>
        <w:rPr>
          <w:rFonts w:hint="eastAsia" w:ascii="宋体" w:hAnsi="宋体" w:cs="宋体"/>
          <w:color w:val="auto"/>
          <w:kern w:val="10"/>
          <w:szCs w:val="21"/>
          <w:highlight w:val="none"/>
        </w:rPr>
        <w:t>以一个投标供应商的身份共同</w:t>
      </w:r>
      <w:r>
        <w:rPr>
          <w:rFonts w:hint="eastAsia" w:ascii="宋体" w:hAnsi="宋体" w:cs="宋体"/>
          <w:color w:val="auto"/>
          <w:szCs w:val="21"/>
          <w:highlight w:val="none"/>
        </w:rPr>
        <w:t>参加</w:t>
      </w:r>
      <w:r>
        <w:rPr>
          <w:rFonts w:hint="eastAsia" w:ascii="宋体" w:hAnsi="宋体" w:cs="宋体"/>
          <w:color w:val="auto"/>
          <w:szCs w:val="21"/>
          <w:highlight w:val="none"/>
          <w:u w:val="single"/>
        </w:rPr>
        <w:t>（采购项目名称）（采购代理编号）</w:t>
      </w:r>
      <w:r>
        <w:rPr>
          <w:rFonts w:hint="eastAsia" w:ascii="宋体" w:hAnsi="宋体" w:cs="宋体"/>
          <w:color w:val="auto"/>
          <w:szCs w:val="21"/>
          <w:highlight w:val="none"/>
        </w:rPr>
        <w:t>的投标活动。经各方充分协商一致，就</w:t>
      </w:r>
      <w:r>
        <w:rPr>
          <w:rFonts w:hint="eastAsia" w:ascii="宋体" w:hAnsi="宋体" w:cs="宋体"/>
          <w:color w:val="auto"/>
          <w:kern w:val="10"/>
          <w:szCs w:val="21"/>
          <w:highlight w:val="none"/>
        </w:rPr>
        <w:t>项目的投标和合同实施阶段的有关事务协商一致</w:t>
      </w:r>
      <w:r>
        <w:rPr>
          <w:rFonts w:hint="eastAsia" w:ascii="宋体" w:hAnsi="宋体" w:cs="宋体"/>
          <w:color w:val="auto"/>
          <w:szCs w:val="21"/>
          <w:highlight w:val="none"/>
        </w:rPr>
        <w:t>订立协议如下：</w:t>
      </w:r>
    </w:p>
    <w:p>
      <w:pPr>
        <w:spacing w:line="360" w:lineRule="auto"/>
        <w:rPr>
          <w:rFonts w:ascii="宋体" w:cs="宋体"/>
          <w:color w:val="auto"/>
          <w:szCs w:val="21"/>
          <w:highlight w:val="none"/>
        </w:rPr>
      </w:pPr>
      <w:r>
        <w:rPr>
          <w:rFonts w:hint="eastAsia" w:ascii="宋体" w:hAnsi="宋体" w:cs="宋体"/>
          <w:color w:val="auto"/>
          <w:szCs w:val="21"/>
          <w:highlight w:val="none"/>
        </w:rPr>
        <w:t>一、联合体各方方关系</w:t>
      </w:r>
    </w:p>
    <w:p>
      <w:pPr>
        <w:spacing w:line="360" w:lineRule="auto"/>
        <w:rPr>
          <w:rFonts w:ascii="宋体" w:cs="宋体"/>
          <w:color w:val="auto"/>
          <w:szCs w:val="21"/>
          <w:highlight w:val="none"/>
        </w:rPr>
      </w:pPr>
      <w:r>
        <w:rPr>
          <w:rFonts w:hint="eastAsia" w:ascii="宋体" w:hAnsi="宋体" w:cs="宋体"/>
          <w:color w:val="auto"/>
          <w:szCs w:val="21"/>
          <w:highlight w:val="none"/>
          <w:u w:val="single"/>
        </w:rPr>
        <w:t>（甲公司全称）</w:t>
      </w:r>
      <w:r>
        <w:rPr>
          <w:rFonts w:hint="eastAsia" w:ascii="宋体" w:hAnsi="宋体" w:cs="宋体"/>
          <w:color w:val="auto"/>
          <w:szCs w:val="21"/>
          <w:highlight w:val="none"/>
        </w:rPr>
        <w:t>、</w:t>
      </w:r>
      <w:r>
        <w:rPr>
          <w:rFonts w:hint="eastAsia" w:ascii="宋体" w:hAnsi="宋体" w:cs="宋体"/>
          <w:color w:val="auto"/>
          <w:szCs w:val="21"/>
          <w:highlight w:val="none"/>
          <w:u w:val="single"/>
        </w:rPr>
        <w:t>（乙公司全称）</w:t>
      </w:r>
      <w:r>
        <w:rPr>
          <w:rFonts w:hint="eastAsia" w:ascii="宋体" w:hAnsi="宋体" w:cs="宋体"/>
          <w:color w:val="auto"/>
          <w:szCs w:val="21"/>
          <w:highlight w:val="none"/>
        </w:rPr>
        <w:t>，</w:t>
      </w:r>
      <w:r>
        <w:rPr>
          <w:rFonts w:hint="eastAsia" w:ascii="宋体" w:hAnsi="宋体" w:cs="宋体"/>
          <w:color w:val="auto"/>
          <w:szCs w:val="21"/>
          <w:highlight w:val="none"/>
          <w:u w:val="single"/>
        </w:rPr>
        <w:t>（……公司全称）</w:t>
      </w:r>
      <w:r>
        <w:rPr>
          <w:rFonts w:hint="eastAsia" w:ascii="宋体" w:hAnsi="宋体" w:cs="宋体"/>
          <w:color w:val="auto"/>
          <w:szCs w:val="21"/>
          <w:highlight w:val="none"/>
        </w:rPr>
        <w:t>共同组成一个联合体，以一个投标供应商的身份共同参加本项目的投标响应。</w:t>
      </w:r>
      <w:r>
        <w:rPr>
          <w:rFonts w:hint="eastAsia" w:ascii="宋体" w:hAnsi="宋体" w:cs="宋体"/>
          <w:color w:val="auto"/>
          <w:szCs w:val="21"/>
          <w:highlight w:val="none"/>
          <w:u w:val="single"/>
        </w:rPr>
        <w:t>（甲公司全称）</w:t>
      </w:r>
      <w:r>
        <w:rPr>
          <w:rFonts w:hint="eastAsia" w:ascii="宋体" w:hAnsi="宋体" w:cs="宋体"/>
          <w:color w:val="auto"/>
          <w:szCs w:val="21"/>
          <w:highlight w:val="none"/>
        </w:rPr>
        <w:t>、</w:t>
      </w:r>
      <w:r>
        <w:rPr>
          <w:rFonts w:hint="eastAsia" w:ascii="宋体" w:hAnsi="宋体" w:cs="宋体"/>
          <w:color w:val="auto"/>
          <w:szCs w:val="21"/>
          <w:highlight w:val="none"/>
          <w:u w:val="single"/>
        </w:rPr>
        <w:t>（乙公司全称）</w:t>
      </w:r>
      <w:r>
        <w:rPr>
          <w:rFonts w:hint="eastAsia" w:ascii="宋体" w:hAnsi="宋体" w:cs="宋体"/>
          <w:color w:val="auto"/>
          <w:szCs w:val="21"/>
          <w:highlight w:val="none"/>
        </w:rPr>
        <w:t>，</w:t>
      </w:r>
      <w:r>
        <w:rPr>
          <w:rFonts w:hint="eastAsia" w:ascii="宋体" w:hAnsi="宋体" w:cs="宋体"/>
          <w:color w:val="auto"/>
          <w:szCs w:val="21"/>
          <w:highlight w:val="none"/>
          <w:u w:val="single"/>
        </w:rPr>
        <w:t>（……公司全称）</w:t>
      </w:r>
      <w:r>
        <w:rPr>
          <w:rFonts w:hint="eastAsia" w:ascii="宋体" w:hAnsi="宋体" w:cs="宋体"/>
          <w:color w:val="auto"/>
          <w:szCs w:val="21"/>
          <w:highlight w:val="none"/>
        </w:rPr>
        <w:t>作为联合体成员</w:t>
      </w:r>
      <w:r>
        <w:rPr>
          <w:rFonts w:ascii="宋体" w:cs="宋体"/>
          <w:color w:val="auto"/>
          <w:szCs w:val="21"/>
          <w:highlight w:val="none"/>
        </w:rPr>
        <w:t>,</w:t>
      </w:r>
      <w:r>
        <w:rPr>
          <w:rFonts w:hint="eastAsia" w:ascii="宋体" w:hAnsi="宋体" w:cs="宋体"/>
          <w:color w:val="auto"/>
          <w:szCs w:val="21"/>
          <w:highlight w:val="none"/>
        </w:rPr>
        <w:t>若中标，联合体各方共同与</w:t>
      </w:r>
      <w:r>
        <w:rPr>
          <w:rFonts w:hint="eastAsia" w:ascii="宋体" w:hAnsi="宋体" w:cs="宋体"/>
          <w:color w:val="auto"/>
          <w:szCs w:val="21"/>
          <w:highlight w:val="none"/>
          <w:u w:val="single"/>
        </w:rPr>
        <w:t>（采购人）或（政府采购代理机构）</w:t>
      </w:r>
      <w:r>
        <w:rPr>
          <w:rFonts w:hint="eastAsia" w:ascii="宋体" w:hAnsi="宋体" w:cs="宋体"/>
          <w:color w:val="auto"/>
          <w:szCs w:val="21"/>
          <w:highlight w:val="none"/>
        </w:rPr>
        <w:t>签订政府采购合同。</w:t>
      </w:r>
    </w:p>
    <w:p>
      <w:pPr>
        <w:spacing w:line="360" w:lineRule="auto"/>
        <w:rPr>
          <w:rFonts w:ascii="宋体" w:cs="宋体"/>
          <w:color w:val="auto"/>
          <w:szCs w:val="21"/>
          <w:highlight w:val="none"/>
        </w:rPr>
      </w:pPr>
      <w:r>
        <w:rPr>
          <w:rFonts w:hint="eastAsia" w:ascii="宋体" w:hAnsi="宋体" w:cs="宋体"/>
          <w:color w:val="auto"/>
          <w:szCs w:val="21"/>
          <w:highlight w:val="none"/>
        </w:rPr>
        <w:t>二、联合体内部有关事项约定如下：</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联合体由联合体共同授权人员负责与采购人或政府采购代理机构联系。</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联合体投标工作由联合体共同负责，由联合体各方组成的投标小组具体实施。</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联合体将严格按照投标</w:t>
      </w:r>
      <w:r>
        <w:rPr>
          <w:rFonts w:ascii="宋体" w:hAnsi="宋体" w:cs="宋体"/>
          <w:color w:val="auto"/>
          <w:szCs w:val="21"/>
          <w:highlight w:val="none"/>
        </w:rPr>
        <w:t>/</w:t>
      </w:r>
      <w:r>
        <w:rPr>
          <w:rFonts w:hint="eastAsia" w:ascii="宋体" w:hAnsi="宋体" w:cs="宋体"/>
          <w:color w:val="auto"/>
          <w:szCs w:val="21"/>
          <w:highlight w:val="none"/>
        </w:rPr>
        <w:t>招标文件的各项要求，递交投标文件，切实执行一切合同文件，共同承担合同规定的一切义务和责任，同时按照内部职责的划分，承担自身所负的责任和风险，在法律在承担连带责任。</w:t>
      </w:r>
    </w:p>
    <w:p>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如中标，联合体各方共同与</w:t>
      </w:r>
      <w:r>
        <w:rPr>
          <w:rFonts w:hint="eastAsia" w:ascii="宋体" w:hAnsi="宋体" w:cs="宋体"/>
          <w:color w:val="auto"/>
          <w:szCs w:val="21"/>
          <w:highlight w:val="none"/>
          <w:u w:val="single"/>
        </w:rPr>
        <w:t>（采购人）或（政府采购代理机构）</w:t>
      </w:r>
      <w:r>
        <w:rPr>
          <w:rFonts w:hint="eastAsia" w:ascii="宋体" w:hAnsi="宋体" w:cs="宋体"/>
          <w:color w:val="auto"/>
          <w:szCs w:val="21"/>
          <w:highlight w:val="none"/>
        </w:rPr>
        <w:t>签订合同书，并就中标项目向采购人负责有连带的和各自的法律责任；</w:t>
      </w:r>
    </w:p>
    <w:p>
      <w:pPr>
        <w:spacing w:line="360" w:lineRule="auto"/>
        <w:rPr>
          <w:rFonts w:ascii="宋体" w:cs="宋体"/>
          <w:color w:val="auto"/>
          <w:szCs w:val="21"/>
          <w:highlight w:val="none"/>
        </w:rPr>
      </w:pPr>
      <w:r>
        <w:rPr>
          <w:rFonts w:hint="eastAsia" w:ascii="宋体"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三、联合体各方不得再以自己名义参与本项目投标，联合体各方不能作为其它联合体或单独投标单位的项目组成员参加本项目投标。因发生上述问题导致联合体投标</w:t>
      </w:r>
      <w:r>
        <w:rPr>
          <w:rFonts w:ascii="宋体" w:hAnsi="宋体" w:cs="宋体"/>
          <w:color w:val="auto"/>
          <w:szCs w:val="21"/>
          <w:highlight w:val="none"/>
        </w:rPr>
        <w:t>/</w:t>
      </w:r>
      <w:r>
        <w:rPr>
          <w:rFonts w:hint="eastAsia" w:ascii="宋体" w:hAnsi="宋体" w:cs="宋体"/>
          <w:color w:val="auto"/>
          <w:szCs w:val="21"/>
          <w:highlight w:val="none"/>
        </w:rPr>
        <w:t>磋商响应成为废标，联合体的其他成员可追究其违约责任和经济损失。</w:t>
      </w:r>
    </w:p>
    <w:p>
      <w:pPr>
        <w:spacing w:line="360" w:lineRule="auto"/>
        <w:rPr>
          <w:rFonts w:ascii="宋体" w:cs="宋体"/>
          <w:color w:val="auto"/>
          <w:szCs w:val="21"/>
          <w:highlight w:val="none"/>
        </w:rPr>
      </w:pPr>
      <w:r>
        <w:rPr>
          <w:rFonts w:hint="eastAsia" w:ascii="宋体" w:hAnsi="宋体" w:cs="宋体"/>
          <w:color w:val="auto"/>
          <w:szCs w:val="21"/>
          <w:highlight w:val="none"/>
        </w:rPr>
        <w:t>四、联合体如因违约过失责任而导致采购人经济损失或被索赔时，本联合体任何一方均同意无条件优先清偿采购人的一切债务和经济赔偿。</w:t>
      </w:r>
    </w:p>
    <w:p>
      <w:pPr>
        <w:spacing w:line="360" w:lineRule="auto"/>
        <w:ind w:left="23" w:leftChars="11"/>
        <w:rPr>
          <w:rFonts w:ascii="宋体" w:cs="宋体"/>
          <w:color w:val="auto"/>
          <w:szCs w:val="21"/>
          <w:highlight w:val="none"/>
        </w:rPr>
      </w:pPr>
      <w:r>
        <w:rPr>
          <w:rFonts w:hint="eastAsia" w:ascii="宋体" w:hAnsi="宋体" w:cs="宋体"/>
          <w:color w:val="auto"/>
          <w:szCs w:val="21"/>
          <w:highlight w:val="none"/>
        </w:rPr>
        <w:t>五、本协议在自签署之日起生效，投标有效期内有效，如获中标资格，合同有效期延续至合同履行完毕之日。</w:t>
      </w:r>
    </w:p>
    <w:p>
      <w:pPr>
        <w:spacing w:line="360" w:lineRule="auto"/>
        <w:ind w:left="34" w:leftChars="16"/>
        <w:rPr>
          <w:rFonts w:ascii="宋体" w:cs="宋体"/>
          <w:color w:val="auto"/>
          <w:szCs w:val="21"/>
          <w:highlight w:val="none"/>
        </w:rPr>
      </w:pPr>
      <w:r>
        <w:rPr>
          <w:rFonts w:hint="eastAsia" w:ascii="宋体" w:hAnsi="宋体" w:cs="宋体"/>
          <w:color w:val="auto"/>
          <w:szCs w:val="21"/>
          <w:highlight w:val="none"/>
        </w:rPr>
        <w:t>六、本协议书正本一式份，随投标文件装订份，送采购人份，联合体成员各一份；副本一式份，联合体成员各执份。</w:t>
      </w:r>
    </w:p>
    <w:p>
      <w:pPr>
        <w:spacing w:line="360" w:lineRule="auto"/>
        <w:rPr>
          <w:rFonts w:ascii="宋体" w:cs="宋体"/>
          <w:color w:val="auto"/>
          <w:szCs w:val="21"/>
          <w:highlight w:val="none"/>
        </w:rPr>
      </w:pPr>
      <w:r>
        <w:rPr>
          <w:rFonts w:hint="eastAsia" w:ascii="宋体" w:hAnsi="宋体" w:cs="宋体"/>
          <w:color w:val="auto"/>
          <w:szCs w:val="21"/>
          <w:highlight w:val="none"/>
        </w:rPr>
        <w:t>甲公司全称：（盖章）</w:t>
      </w:r>
      <w:r>
        <w:rPr>
          <w:rFonts w:ascii="宋体" w:hAnsi="宋体" w:cs="宋体"/>
          <w:color w:val="auto"/>
          <w:szCs w:val="21"/>
          <w:highlight w:val="none"/>
        </w:rPr>
        <w:t xml:space="preserve">    </w:t>
      </w:r>
      <w:r>
        <w:rPr>
          <w:rFonts w:hint="eastAsia" w:ascii="宋体" w:hAnsi="宋体" w:cs="宋体"/>
          <w:color w:val="auto"/>
          <w:szCs w:val="21"/>
          <w:highlight w:val="none"/>
        </w:rPr>
        <w:t>乙公司全称：（盖章）……公司全称（盖章）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法定代表人：（签字）</w:t>
      </w:r>
      <w:r>
        <w:rPr>
          <w:rFonts w:ascii="宋体" w:hAnsi="宋体" w:cs="宋体"/>
          <w:color w:val="auto"/>
          <w:szCs w:val="21"/>
          <w:highlight w:val="none"/>
        </w:rPr>
        <w:t xml:space="preserve">    </w:t>
      </w:r>
      <w:r>
        <w:rPr>
          <w:rFonts w:hint="eastAsia" w:ascii="宋体" w:hAnsi="宋体" w:cs="宋体"/>
          <w:color w:val="auto"/>
          <w:szCs w:val="21"/>
          <w:highlight w:val="none"/>
        </w:rPr>
        <w:t>法定代表人（签字）法定代表人（签字）</w:t>
      </w:r>
      <w:r>
        <w:rPr>
          <w:rFonts w:ascii="宋体" w:cs="宋体"/>
          <w:color w:val="auto"/>
          <w:szCs w:val="21"/>
          <w:highlight w:val="none"/>
        </w:rPr>
        <w:br w:type="textWrapping"/>
      </w:r>
      <w:r>
        <w:rPr>
          <w:rFonts w:asci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360" w:lineRule="auto"/>
        <w:ind w:left="617" w:hanging="617" w:hangingChars="294"/>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．联合投标时需签本协议，联合体两方成员应在本协议上共同盖章确认。</w:t>
      </w:r>
    </w:p>
    <w:p>
      <w:pPr>
        <w:spacing w:line="360" w:lineRule="auto"/>
        <w:ind w:firstLine="411" w:firstLineChars="196"/>
        <w:rPr>
          <w:rFonts w:ascii="宋体" w:cs="宋体"/>
          <w:color w:val="auto"/>
          <w:szCs w:val="21"/>
          <w:highlight w:val="none"/>
          <w:u w:val="single"/>
        </w:rPr>
      </w:pPr>
      <w:r>
        <w:rPr>
          <w:rFonts w:ascii="宋体" w:hAnsi="宋体" w:cs="宋体"/>
          <w:color w:val="auto"/>
          <w:szCs w:val="21"/>
          <w:highlight w:val="none"/>
        </w:rPr>
        <w:t>2</w:t>
      </w:r>
      <w:r>
        <w:rPr>
          <w:rFonts w:hint="eastAsia" w:ascii="宋体" w:hAnsi="宋体" w:cs="宋体"/>
          <w:color w:val="auto"/>
          <w:szCs w:val="21"/>
          <w:highlight w:val="none"/>
        </w:rPr>
        <w:t>．本协议内容不得擅自修改。此协议将作为签订合同的附件之一。</w:t>
      </w:r>
    </w:p>
    <w:p>
      <w:pPr>
        <w:pStyle w:val="7"/>
        <w:keepNext/>
        <w:keepLines/>
        <w:tabs>
          <w:tab w:val="left" w:pos="420"/>
        </w:tabs>
        <w:autoSpaceDE/>
        <w:adjustRightInd/>
        <w:snapToGrid/>
        <w:ind w:left="0" w:firstLine="0"/>
        <w:jc w:val="center"/>
        <w:rPr>
          <w:rFonts w:hAnsi="宋体" w:cs="宋体"/>
          <w:b/>
          <w:color w:val="auto"/>
          <w:sz w:val="24"/>
          <w:szCs w:val="24"/>
          <w:highlight w:val="none"/>
        </w:rPr>
      </w:pPr>
      <w:bookmarkStart w:id="58" w:name="_Toc435514874"/>
      <w:bookmarkStart w:id="59" w:name="_Toc435515314"/>
      <w:r>
        <w:rPr>
          <w:rFonts w:hint="eastAsia" w:hAnsi="宋体" w:cs="宋体"/>
          <w:b/>
          <w:color w:val="auto"/>
          <w:sz w:val="24"/>
          <w:szCs w:val="24"/>
          <w:highlight w:val="none"/>
        </w:rPr>
        <w:t>3.4政策适用性说明（如有）</w:t>
      </w:r>
      <w:bookmarkEnd w:id="58"/>
      <w:bookmarkEnd w:id="59"/>
    </w:p>
    <w:p>
      <w:pPr>
        <w:pStyle w:val="5"/>
        <w:jc w:val="center"/>
        <w:rPr>
          <w:color w:val="auto"/>
          <w:highlight w:val="none"/>
        </w:rPr>
      </w:pPr>
    </w:p>
    <w:p>
      <w:pPr>
        <w:autoSpaceDE w:val="0"/>
        <w:autoSpaceDN w:val="0"/>
        <w:adjustRightInd w:val="0"/>
        <w:spacing w:line="360" w:lineRule="auto"/>
        <w:ind w:firstLine="420" w:firstLineChars="200"/>
        <w:rPr>
          <w:rFonts w:ascii="宋体"/>
          <w:color w:val="auto"/>
          <w:szCs w:val="21"/>
          <w:highlight w:val="none"/>
          <w:lang w:val="en-GB"/>
        </w:rPr>
      </w:pPr>
      <w:r>
        <w:rPr>
          <w:rFonts w:hint="eastAsia" w:ascii="宋体" w:hAnsi="宋体"/>
          <w:color w:val="auto"/>
          <w:szCs w:val="21"/>
          <w:highlight w:val="none"/>
          <w:lang w:val="en-GB"/>
        </w:rPr>
        <w:t>按照政府采购有关政策的要求，在本次的技术方案中，采用符合中小企业扶持政策、节能产品、环保标志产品、能源效率标识产品政策，介绍说明如下：</w:t>
      </w:r>
    </w:p>
    <w:tbl>
      <w:tblPr>
        <w:tblStyle w:val="55"/>
        <w:tblW w:w="9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935"/>
        <w:gridCol w:w="1834"/>
        <w:gridCol w:w="1622"/>
        <w:gridCol w:w="1310"/>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68" w:type="dxa"/>
            <w:vMerge w:val="restart"/>
            <w:vAlign w:val="center"/>
          </w:tcPr>
          <w:p>
            <w:pPr>
              <w:tabs>
                <w:tab w:val="left" w:pos="1260"/>
              </w:tabs>
              <w:spacing w:line="360" w:lineRule="auto"/>
              <w:ind w:left="-86" w:leftChars="-41" w:right="-71" w:rightChars="-34"/>
              <w:jc w:val="center"/>
              <w:rPr>
                <w:rFonts w:ascii="宋体"/>
                <w:color w:val="auto"/>
                <w:szCs w:val="21"/>
                <w:highlight w:val="none"/>
                <w:lang w:val="en-GB"/>
              </w:rPr>
            </w:pPr>
            <w:r>
              <w:rPr>
                <w:rFonts w:hint="eastAsia" w:ascii="宋体" w:hAnsi="宋体"/>
                <w:b/>
                <w:color w:val="auto"/>
                <w:szCs w:val="21"/>
                <w:highlight w:val="none"/>
                <w:lang w:val="en-GB"/>
              </w:rPr>
              <w:t>小型、微型企业产品</w:t>
            </w:r>
          </w:p>
        </w:tc>
        <w:tc>
          <w:tcPr>
            <w:tcW w:w="1935" w:type="dxa"/>
            <w:vAlign w:val="center"/>
          </w:tcPr>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产品名称</w:t>
            </w:r>
          </w:p>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（品牌、型号）</w:t>
            </w:r>
          </w:p>
        </w:tc>
        <w:tc>
          <w:tcPr>
            <w:tcW w:w="1834" w:type="dxa"/>
            <w:vAlign w:val="center"/>
          </w:tcPr>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制造商</w:t>
            </w:r>
          </w:p>
        </w:tc>
        <w:tc>
          <w:tcPr>
            <w:tcW w:w="1622" w:type="dxa"/>
            <w:vAlign w:val="center"/>
          </w:tcPr>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制造商企业类型</w:t>
            </w:r>
          </w:p>
        </w:tc>
        <w:tc>
          <w:tcPr>
            <w:tcW w:w="1310" w:type="dxa"/>
            <w:vAlign w:val="center"/>
          </w:tcPr>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金额</w:t>
            </w:r>
          </w:p>
        </w:tc>
        <w:tc>
          <w:tcPr>
            <w:tcW w:w="1493" w:type="dxa"/>
            <w:vAlign w:val="center"/>
          </w:tcPr>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金额占总报价比重（累计</w:t>
            </w:r>
            <w:r>
              <w:rPr>
                <w:rFonts w:ascii="宋体" w:hAnsi="宋体"/>
                <w:b/>
                <w:color w:val="auto"/>
                <w:szCs w:val="21"/>
                <w:highlight w:val="none"/>
                <w:lang w:val="en-GB"/>
              </w:rPr>
              <w:t>%</w:t>
            </w:r>
            <w:r>
              <w:rPr>
                <w:rFonts w:hint="eastAsia" w:ascii="宋体" w:hAnsi="宋体"/>
                <w:b/>
                <w:color w:val="auto"/>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 w:hRule="atLeast"/>
          <w:jc w:val="center"/>
        </w:trPr>
        <w:tc>
          <w:tcPr>
            <w:tcW w:w="968" w:type="dxa"/>
            <w:vMerge w:val="continue"/>
            <w:vAlign w:val="center"/>
          </w:tcPr>
          <w:p>
            <w:pPr>
              <w:rPr>
                <w:rFonts w:ascii="宋体"/>
                <w:color w:val="auto"/>
                <w:szCs w:val="21"/>
                <w:highlight w:val="none"/>
                <w:lang w:val="en-GB"/>
              </w:rPr>
            </w:pPr>
          </w:p>
        </w:tc>
        <w:tc>
          <w:tcPr>
            <w:tcW w:w="1935" w:type="dxa"/>
            <w:vAlign w:val="center"/>
          </w:tcPr>
          <w:p>
            <w:pPr>
              <w:tabs>
                <w:tab w:val="left" w:pos="1260"/>
              </w:tabs>
              <w:spacing w:line="360" w:lineRule="auto"/>
              <w:jc w:val="center"/>
              <w:rPr>
                <w:rFonts w:ascii="宋体"/>
                <w:b/>
                <w:color w:val="auto"/>
                <w:szCs w:val="21"/>
                <w:highlight w:val="none"/>
                <w:lang w:val="en-GB"/>
              </w:rPr>
            </w:pPr>
          </w:p>
        </w:tc>
        <w:tc>
          <w:tcPr>
            <w:tcW w:w="1834" w:type="dxa"/>
            <w:vAlign w:val="center"/>
          </w:tcPr>
          <w:p>
            <w:pPr>
              <w:tabs>
                <w:tab w:val="left" w:pos="1260"/>
              </w:tabs>
              <w:spacing w:line="360" w:lineRule="auto"/>
              <w:jc w:val="center"/>
              <w:rPr>
                <w:rFonts w:ascii="宋体"/>
                <w:b/>
                <w:color w:val="auto"/>
                <w:szCs w:val="21"/>
                <w:highlight w:val="none"/>
                <w:lang w:val="en-GB"/>
              </w:rPr>
            </w:pPr>
          </w:p>
        </w:tc>
        <w:tc>
          <w:tcPr>
            <w:tcW w:w="1622" w:type="dxa"/>
            <w:vAlign w:val="center"/>
          </w:tcPr>
          <w:p>
            <w:pPr>
              <w:tabs>
                <w:tab w:val="left" w:pos="1260"/>
              </w:tabs>
              <w:spacing w:line="360" w:lineRule="auto"/>
              <w:jc w:val="center"/>
              <w:rPr>
                <w:rFonts w:ascii="宋体"/>
                <w:b/>
                <w:color w:val="auto"/>
                <w:szCs w:val="21"/>
                <w:highlight w:val="none"/>
                <w:lang w:val="en-GB"/>
              </w:rPr>
            </w:pPr>
          </w:p>
        </w:tc>
        <w:tc>
          <w:tcPr>
            <w:tcW w:w="1310" w:type="dxa"/>
            <w:vAlign w:val="center"/>
          </w:tcPr>
          <w:p>
            <w:pPr>
              <w:tabs>
                <w:tab w:val="left" w:pos="1260"/>
              </w:tabs>
              <w:spacing w:line="360" w:lineRule="auto"/>
              <w:jc w:val="center"/>
              <w:rPr>
                <w:rFonts w:ascii="宋体"/>
                <w:b/>
                <w:color w:val="auto"/>
                <w:szCs w:val="21"/>
                <w:highlight w:val="none"/>
                <w:lang w:val="en-GB"/>
              </w:rPr>
            </w:pPr>
          </w:p>
        </w:tc>
        <w:tc>
          <w:tcPr>
            <w:tcW w:w="1493" w:type="dxa"/>
            <w:vAlign w:val="center"/>
          </w:tcPr>
          <w:p>
            <w:pPr>
              <w:tabs>
                <w:tab w:val="left" w:pos="1260"/>
              </w:tabs>
              <w:spacing w:line="360" w:lineRule="auto"/>
              <w:jc w:val="center"/>
              <w:rPr>
                <w:rFonts w:ascii="宋体"/>
                <w:b/>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 w:hRule="atLeast"/>
          <w:jc w:val="center"/>
        </w:trPr>
        <w:tc>
          <w:tcPr>
            <w:tcW w:w="968" w:type="dxa"/>
            <w:vMerge w:val="continue"/>
            <w:vAlign w:val="center"/>
          </w:tcPr>
          <w:p>
            <w:pPr>
              <w:rPr>
                <w:rFonts w:ascii="宋体"/>
                <w:color w:val="auto"/>
                <w:szCs w:val="21"/>
                <w:highlight w:val="none"/>
                <w:lang w:val="en-GB"/>
              </w:rPr>
            </w:pPr>
          </w:p>
        </w:tc>
        <w:tc>
          <w:tcPr>
            <w:tcW w:w="1935" w:type="dxa"/>
            <w:vAlign w:val="center"/>
          </w:tcPr>
          <w:p>
            <w:pPr>
              <w:tabs>
                <w:tab w:val="left" w:pos="1260"/>
              </w:tabs>
              <w:spacing w:line="360" w:lineRule="auto"/>
              <w:jc w:val="center"/>
              <w:rPr>
                <w:rFonts w:ascii="宋体"/>
                <w:b/>
                <w:color w:val="auto"/>
                <w:szCs w:val="21"/>
                <w:highlight w:val="none"/>
                <w:lang w:val="en-GB"/>
              </w:rPr>
            </w:pPr>
          </w:p>
        </w:tc>
        <w:tc>
          <w:tcPr>
            <w:tcW w:w="1834" w:type="dxa"/>
            <w:vAlign w:val="center"/>
          </w:tcPr>
          <w:p>
            <w:pPr>
              <w:tabs>
                <w:tab w:val="left" w:pos="1260"/>
              </w:tabs>
              <w:spacing w:line="360" w:lineRule="auto"/>
              <w:jc w:val="center"/>
              <w:rPr>
                <w:rFonts w:ascii="宋体"/>
                <w:b/>
                <w:color w:val="auto"/>
                <w:szCs w:val="21"/>
                <w:highlight w:val="none"/>
                <w:lang w:val="en-GB"/>
              </w:rPr>
            </w:pPr>
          </w:p>
        </w:tc>
        <w:tc>
          <w:tcPr>
            <w:tcW w:w="1622" w:type="dxa"/>
            <w:vAlign w:val="center"/>
          </w:tcPr>
          <w:p>
            <w:pPr>
              <w:tabs>
                <w:tab w:val="left" w:pos="1260"/>
              </w:tabs>
              <w:spacing w:line="360" w:lineRule="auto"/>
              <w:jc w:val="center"/>
              <w:rPr>
                <w:rFonts w:ascii="宋体"/>
                <w:b/>
                <w:color w:val="auto"/>
                <w:szCs w:val="21"/>
                <w:highlight w:val="none"/>
                <w:lang w:val="en-GB"/>
              </w:rPr>
            </w:pPr>
          </w:p>
        </w:tc>
        <w:tc>
          <w:tcPr>
            <w:tcW w:w="1310" w:type="dxa"/>
            <w:vAlign w:val="center"/>
          </w:tcPr>
          <w:p>
            <w:pPr>
              <w:tabs>
                <w:tab w:val="left" w:pos="1260"/>
              </w:tabs>
              <w:spacing w:line="360" w:lineRule="auto"/>
              <w:jc w:val="center"/>
              <w:rPr>
                <w:rFonts w:ascii="宋体"/>
                <w:b/>
                <w:color w:val="auto"/>
                <w:szCs w:val="21"/>
                <w:highlight w:val="none"/>
                <w:lang w:val="en-GB"/>
              </w:rPr>
            </w:pPr>
          </w:p>
        </w:tc>
        <w:tc>
          <w:tcPr>
            <w:tcW w:w="1493" w:type="dxa"/>
            <w:vAlign w:val="center"/>
          </w:tcPr>
          <w:p>
            <w:pPr>
              <w:tabs>
                <w:tab w:val="left" w:pos="1260"/>
              </w:tabs>
              <w:spacing w:line="360" w:lineRule="auto"/>
              <w:jc w:val="center"/>
              <w:rPr>
                <w:rFonts w:ascii="宋体"/>
                <w:b/>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6" w:hRule="atLeast"/>
          <w:jc w:val="center"/>
        </w:trPr>
        <w:tc>
          <w:tcPr>
            <w:tcW w:w="968" w:type="dxa"/>
            <w:vMerge w:val="continue"/>
            <w:vAlign w:val="center"/>
          </w:tcPr>
          <w:p>
            <w:pPr>
              <w:rPr>
                <w:rFonts w:ascii="宋体"/>
                <w:color w:val="auto"/>
                <w:szCs w:val="21"/>
                <w:highlight w:val="none"/>
                <w:lang w:val="en-GB"/>
              </w:rPr>
            </w:pPr>
          </w:p>
        </w:tc>
        <w:tc>
          <w:tcPr>
            <w:tcW w:w="8194" w:type="dxa"/>
            <w:gridSpan w:val="5"/>
            <w:vAlign w:val="center"/>
          </w:tcPr>
          <w:p>
            <w:pPr>
              <w:tabs>
                <w:tab w:val="left" w:pos="1260"/>
              </w:tabs>
              <w:spacing w:line="360" w:lineRule="auto"/>
              <w:ind w:left="-86" w:leftChars="-41" w:right="-71" w:rightChars="-34"/>
              <w:rPr>
                <w:rFonts w:ascii="宋体"/>
                <w:b/>
                <w:color w:val="auto"/>
                <w:szCs w:val="21"/>
                <w:highlight w:val="none"/>
                <w:lang w:val="en-GB"/>
              </w:rPr>
            </w:pPr>
            <w:r>
              <w:rPr>
                <w:rFonts w:hint="eastAsia" w:ascii="宋体" w:hAnsi="宋体"/>
                <w:b/>
                <w:color w:val="auto"/>
                <w:szCs w:val="21"/>
                <w:highlight w:val="none"/>
                <w:lang w:val="en-GB"/>
              </w:rPr>
              <w:t>行业：</w:t>
            </w:r>
            <w:r>
              <w:rPr>
                <w:rFonts w:hint="eastAsia" w:ascii="宋体" w:hAnsi="宋体"/>
                <w:b/>
                <w:color w:val="auto"/>
                <w:szCs w:val="21"/>
                <w:highlight w:val="none"/>
                <w:u w:val="single"/>
                <w:lang w:val="en-GB"/>
              </w:rPr>
              <w:t>；</w:t>
            </w:r>
          </w:p>
          <w:p>
            <w:pPr>
              <w:tabs>
                <w:tab w:val="left" w:pos="1260"/>
              </w:tabs>
              <w:spacing w:line="360" w:lineRule="auto"/>
              <w:ind w:left="-86" w:leftChars="-41" w:right="-71" w:rightChars="-34"/>
              <w:rPr>
                <w:rFonts w:ascii="宋体"/>
                <w:b/>
                <w:color w:val="auto"/>
                <w:szCs w:val="21"/>
                <w:highlight w:val="none"/>
                <w:u w:val="single"/>
                <w:lang w:val="en-GB"/>
              </w:rPr>
            </w:pPr>
            <w:r>
              <w:rPr>
                <w:rFonts w:hint="eastAsia" w:ascii="宋体" w:hAnsi="宋体"/>
                <w:b/>
                <w:color w:val="auto"/>
                <w:szCs w:val="21"/>
                <w:highlight w:val="none"/>
                <w:lang w:val="en-GB"/>
              </w:rPr>
              <w:t>营业收入（万元）：</w:t>
            </w:r>
            <w:r>
              <w:rPr>
                <w:rFonts w:hint="eastAsia" w:ascii="宋体" w:hAnsi="宋体"/>
                <w:b/>
                <w:color w:val="auto"/>
                <w:szCs w:val="21"/>
                <w:highlight w:val="none"/>
                <w:u w:val="single"/>
                <w:lang w:val="en-GB"/>
              </w:rPr>
              <w:t>；</w:t>
            </w:r>
          </w:p>
          <w:p>
            <w:pPr>
              <w:tabs>
                <w:tab w:val="left" w:pos="1260"/>
              </w:tabs>
              <w:spacing w:line="360" w:lineRule="auto"/>
              <w:ind w:left="-86" w:leftChars="-41" w:right="-71" w:rightChars="-34"/>
              <w:rPr>
                <w:rFonts w:ascii="宋体"/>
                <w:b/>
                <w:color w:val="auto"/>
                <w:szCs w:val="21"/>
                <w:highlight w:val="none"/>
                <w:u w:val="single"/>
                <w:lang w:val="en-GB"/>
              </w:rPr>
            </w:pPr>
            <w:r>
              <w:rPr>
                <w:rFonts w:hint="eastAsia" w:ascii="宋体" w:hAnsi="宋体"/>
                <w:b/>
                <w:color w:val="auto"/>
                <w:szCs w:val="21"/>
                <w:highlight w:val="none"/>
                <w:lang w:val="en-GB"/>
              </w:rPr>
              <w:t>资产总额：（万元）：</w:t>
            </w:r>
            <w:r>
              <w:rPr>
                <w:rFonts w:hint="eastAsia" w:ascii="宋体" w:hAnsi="宋体"/>
                <w:b/>
                <w:color w:val="auto"/>
                <w:szCs w:val="21"/>
                <w:highlight w:val="none"/>
                <w:u w:val="single"/>
                <w:lang w:val="en-GB"/>
              </w:rPr>
              <w:t>；</w:t>
            </w:r>
          </w:p>
          <w:p>
            <w:pPr>
              <w:tabs>
                <w:tab w:val="left" w:pos="1260"/>
              </w:tabs>
              <w:spacing w:line="360" w:lineRule="auto"/>
              <w:ind w:left="-86" w:leftChars="-41" w:right="-71" w:rightChars="-34"/>
              <w:rPr>
                <w:rFonts w:ascii="宋体"/>
                <w:b/>
                <w:color w:val="auto"/>
                <w:szCs w:val="21"/>
                <w:highlight w:val="none"/>
                <w:lang w:val="en-GB"/>
              </w:rPr>
            </w:pPr>
            <w:r>
              <w:rPr>
                <w:rFonts w:hint="eastAsia" w:ascii="宋体" w:hAnsi="宋体"/>
                <w:b/>
                <w:color w:val="auto"/>
                <w:szCs w:val="21"/>
                <w:highlight w:val="none"/>
                <w:lang w:val="en-GB"/>
              </w:rPr>
              <w:t>从业人员（人）：</w:t>
            </w:r>
            <w:r>
              <w:rPr>
                <w:rFonts w:hint="eastAsia" w:ascii="宋体" w:hAnsi="宋体"/>
                <w:b/>
                <w:color w:val="auto"/>
                <w:szCs w:val="21"/>
                <w:highlight w:val="none"/>
                <w:u w:val="single"/>
                <w:lang w:val="en-GB"/>
              </w:rPr>
              <w:t>；</w:t>
            </w:r>
          </w:p>
          <w:p>
            <w:pPr>
              <w:tabs>
                <w:tab w:val="left" w:pos="1260"/>
              </w:tabs>
              <w:spacing w:line="360" w:lineRule="auto"/>
              <w:ind w:left="-86" w:leftChars="-41" w:right="-71" w:rightChars="-34"/>
              <w:rPr>
                <w:rFonts w:ascii="宋体"/>
                <w:b/>
                <w:color w:val="auto"/>
                <w:szCs w:val="21"/>
                <w:highlight w:val="none"/>
                <w:lang w:val="en-GB"/>
              </w:rPr>
            </w:pPr>
            <w:r>
              <w:rPr>
                <w:rFonts w:hint="eastAsia" w:ascii="宋体" w:hAnsi="宋体"/>
                <w:b/>
                <w:color w:val="auto"/>
                <w:szCs w:val="21"/>
                <w:highlight w:val="none"/>
                <w:lang w:val="en-GB"/>
              </w:rPr>
              <w:t>注：如与《中小企业声明函》中同一内容的数据填写不一致的，</w:t>
            </w:r>
            <w:r>
              <w:rPr>
                <w:rFonts w:hint="eastAsia" w:ascii="宋体" w:hAnsi="宋体"/>
                <w:b/>
                <w:color w:val="auto"/>
                <w:szCs w:val="21"/>
                <w:highlight w:val="none"/>
              </w:rPr>
              <w:t>评审时不能享受相应的价格扣除</w:t>
            </w:r>
            <w:r>
              <w:rPr>
                <w:rFonts w:hint="eastAsia" w:ascii="宋体" w:hAnsi="宋体"/>
                <w:b/>
                <w:color w:val="auto"/>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968" w:type="dxa"/>
            <w:vAlign w:val="center"/>
          </w:tcPr>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类别</w:t>
            </w:r>
          </w:p>
        </w:tc>
        <w:tc>
          <w:tcPr>
            <w:tcW w:w="1935" w:type="dxa"/>
            <w:vAlign w:val="center"/>
          </w:tcPr>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主要产品</w:t>
            </w:r>
            <w:r>
              <w:rPr>
                <w:rFonts w:ascii="宋体" w:hAnsi="宋体"/>
                <w:b/>
                <w:color w:val="auto"/>
                <w:szCs w:val="21"/>
                <w:highlight w:val="none"/>
                <w:lang w:val="en-GB"/>
              </w:rPr>
              <w:t>/</w:t>
            </w:r>
            <w:r>
              <w:rPr>
                <w:rFonts w:hint="eastAsia" w:ascii="宋体" w:hAnsi="宋体"/>
                <w:b/>
                <w:color w:val="auto"/>
                <w:szCs w:val="21"/>
                <w:highlight w:val="none"/>
                <w:lang w:val="en-GB"/>
              </w:rPr>
              <w:t>技术名称</w:t>
            </w:r>
          </w:p>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（规格型号、注册商标）</w:t>
            </w:r>
          </w:p>
        </w:tc>
        <w:tc>
          <w:tcPr>
            <w:tcW w:w="1834" w:type="dxa"/>
            <w:vAlign w:val="center"/>
          </w:tcPr>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制造商</w:t>
            </w:r>
            <w:r>
              <w:rPr>
                <w:rFonts w:ascii="宋体" w:hAnsi="宋体"/>
                <w:b/>
                <w:color w:val="auto"/>
                <w:szCs w:val="21"/>
                <w:highlight w:val="none"/>
                <w:lang w:val="en-GB"/>
              </w:rPr>
              <w:t>/</w:t>
            </w:r>
            <w:r>
              <w:rPr>
                <w:rFonts w:hint="eastAsia" w:ascii="宋体" w:hAnsi="宋体"/>
                <w:b/>
                <w:color w:val="auto"/>
                <w:szCs w:val="21"/>
                <w:highlight w:val="none"/>
                <w:lang w:val="en-GB"/>
              </w:rPr>
              <w:t>开发商</w:t>
            </w:r>
          </w:p>
        </w:tc>
        <w:tc>
          <w:tcPr>
            <w:tcW w:w="1622" w:type="dxa"/>
            <w:vAlign w:val="center"/>
          </w:tcPr>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认证证书编号</w:t>
            </w:r>
          </w:p>
        </w:tc>
        <w:tc>
          <w:tcPr>
            <w:tcW w:w="2803" w:type="dxa"/>
            <w:gridSpan w:val="2"/>
            <w:vAlign w:val="center"/>
          </w:tcPr>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68" w:type="dxa"/>
            <w:vMerge w:val="restart"/>
            <w:vAlign w:val="center"/>
          </w:tcPr>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节能产品</w:t>
            </w:r>
          </w:p>
        </w:tc>
        <w:tc>
          <w:tcPr>
            <w:tcW w:w="1935" w:type="dxa"/>
            <w:vAlign w:val="center"/>
          </w:tcPr>
          <w:p>
            <w:pPr>
              <w:tabs>
                <w:tab w:val="left" w:pos="1260"/>
              </w:tabs>
              <w:spacing w:line="360" w:lineRule="auto"/>
              <w:jc w:val="center"/>
              <w:rPr>
                <w:rFonts w:ascii="宋体"/>
                <w:color w:val="auto"/>
                <w:szCs w:val="21"/>
                <w:highlight w:val="none"/>
                <w:lang w:val="en-GB"/>
              </w:rPr>
            </w:pPr>
          </w:p>
        </w:tc>
        <w:tc>
          <w:tcPr>
            <w:tcW w:w="1834" w:type="dxa"/>
            <w:vAlign w:val="center"/>
          </w:tcPr>
          <w:p>
            <w:pPr>
              <w:tabs>
                <w:tab w:val="left" w:pos="1260"/>
              </w:tabs>
              <w:spacing w:line="360" w:lineRule="auto"/>
              <w:jc w:val="center"/>
              <w:rPr>
                <w:rFonts w:ascii="宋体"/>
                <w:color w:val="auto"/>
                <w:szCs w:val="21"/>
                <w:highlight w:val="none"/>
                <w:lang w:val="en-GB"/>
              </w:rPr>
            </w:pPr>
          </w:p>
        </w:tc>
        <w:tc>
          <w:tcPr>
            <w:tcW w:w="1622" w:type="dxa"/>
            <w:vAlign w:val="center"/>
          </w:tcPr>
          <w:p>
            <w:pPr>
              <w:tabs>
                <w:tab w:val="left" w:pos="1260"/>
              </w:tabs>
              <w:spacing w:line="360" w:lineRule="auto"/>
              <w:jc w:val="center"/>
              <w:rPr>
                <w:rFonts w:ascii="宋体"/>
                <w:color w:val="auto"/>
                <w:szCs w:val="21"/>
                <w:highlight w:val="none"/>
                <w:lang w:val="en-GB"/>
              </w:rPr>
            </w:pPr>
          </w:p>
        </w:tc>
        <w:tc>
          <w:tcPr>
            <w:tcW w:w="2803" w:type="dxa"/>
            <w:gridSpan w:val="2"/>
            <w:vAlign w:val="center"/>
          </w:tcPr>
          <w:p>
            <w:pPr>
              <w:tabs>
                <w:tab w:val="left" w:pos="1260"/>
              </w:tabs>
              <w:spacing w:line="360" w:lineRule="auto"/>
              <w:jc w:val="center"/>
              <w:rPr>
                <w:rFonts w:ascii="宋体"/>
                <w:color w:val="auto"/>
                <w:szCs w:val="21"/>
                <w:highlight w:val="none"/>
                <w:lang w:val="en-GB"/>
              </w:rPr>
            </w:pPr>
            <w:r>
              <w:rPr>
                <w:rFonts w:hint="eastAsia" w:ascii="宋体" w:hAnsi="宋体"/>
                <w:color w:val="auto"/>
                <w:szCs w:val="21"/>
                <w:highlight w:val="none"/>
                <w:lang w:val="en-GB"/>
              </w:rPr>
              <w:t>第</w:t>
            </w:r>
            <w:r>
              <w:rPr>
                <w:rFonts w:hint="eastAsia" w:ascii="宋体" w:hAnsi="宋体"/>
                <w:color w:val="auto"/>
                <w:szCs w:val="21"/>
                <w:highlight w:val="none"/>
                <w:u w:val="single"/>
                <w:lang w:val="en-GB"/>
              </w:rPr>
              <w:t>　</w:t>
            </w:r>
            <w:r>
              <w:rPr>
                <w:rFonts w:hint="eastAsia" w:ascii="宋体" w:hAnsi="宋体"/>
                <w:color w:val="auto"/>
                <w:szCs w:val="21"/>
                <w:highlight w:val="none"/>
                <w:lang w:val="en-GB"/>
              </w:rPr>
              <w:t>期清单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68" w:type="dxa"/>
            <w:vMerge w:val="continue"/>
            <w:vAlign w:val="center"/>
          </w:tcPr>
          <w:p>
            <w:pPr>
              <w:rPr>
                <w:rFonts w:ascii="宋体"/>
                <w:b/>
                <w:color w:val="auto"/>
                <w:szCs w:val="21"/>
                <w:highlight w:val="none"/>
                <w:lang w:val="en-GB"/>
              </w:rPr>
            </w:pPr>
          </w:p>
        </w:tc>
        <w:tc>
          <w:tcPr>
            <w:tcW w:w="1935" w:type="dxa"/>
            <w:vAlign w:val="center"/>
          </w:tcPr>
          <w:p>
            <w:pPr>
              <w:tabs>
                <w:tab w:val="left" w:pos="1260"/>
              </w:tabs>
              <w:spacing w:line="360" w:lineRule="auto"/>
              <w:jc w:val="center"/>
              <w:rPr>
                <w:rFonts w:ascii="宋体"/>
                <w:color w:val="auto"/>
                <w:szCs w:val="21"/>
                <w:highlight w:val="none"/>
                <w:lang w:val="en-GB"/>
              </w:rPr>
            </w:pPr>
          </w:p>
        </w:tc>
        <w:tc>
          <w:tcPr>
            <w:tcW w:w="1834" w:type="dxa"/>
            <w:vAlign w:val="center"/>
          </w:tcPr>
          <w:p>
            <w:pPr>
              <w:tabs>
                <w:tab w:val="left" w:pos="1260"/>
              </w:tabs>
              <w:spacing w:line="360" w:lineRule="auto"/>
              <w:jc w:val="center"/>
              <w:rPr>
                <w:rFonts w:ascii="宋体"/>
                <w:color w:val="auto"/>
                <w:szCs w:val="21"/>
                <w:highlight w:val="none"/>
                <w:lang w:val="en-GB"/>
              </w:rPr>
            </w:pPr>
          </w:p>
        </w:tc>
        <w:tc>
          <w:tcPr>
            <w:tcW w:w="1622" w:type="dxa"/>
            <w:vAlign w:val="center"/>
          </w:tcPr>
          <w:p>
            <w:pPr>
              <w:tabs>
                <w:tab w:val="left" w:pos="1260"/>
              </w:tabs>
              <w:spacing w:line="360" w:lineRule="auto"/>
              <w:jc w:val="center"/>
              <w:rPr>
                <w:rFonts w:ascii="宋体"/>
                <w:color w:val="auto"/>
                <w:szCs w:val="21"/>
                <w:highlight w:val="none"/>
                <w:lang w:val="en-GB"/>
              </w:rPr>
            </w:pPr>
          </w:p>
        </w:tc>
        <w:tc>
          <w:tcPr>
            <w:tcW w:w="2803" w:type="dxa"/>
            <w:gridSpan w:val="2"/>
            <w:vAlign w:val="center"/>
          </w:tcPr>
          <w:p>
            <w:pPr>
              <w:tabs>
                <w:tab w:val="left" w:pos="1260"/>
              </w:tabs>
              <w:spacing w:line="360" w:lineRule="auto"/>
              <w:jc w:val="center"/>
              <w:rPr>
                <w:rFonts w:ascii="宋体"/>
                <w:color w:val="auto"/>
                <w:szCs w:val="21"/>
                <w:highlight w:val="none"/>
                <w:lang w:val="en-GB"/>
              </w:rPr>
            </w:pPr>
            <w:r>
              <w:rPr>
                <w:rFonts w:hint="eastAsia" w:ascii="宋体" w:hAnsi="宋体"/>
                <w:color w:val="auto"/>
                <w:szCs w:val="21"/>
                <w:highlight w:val="none"/>
                <w:lang w:val="en-GB"/>
              </w:rPr>
              <w:t>第</w:t>
            </w:r>
            <w:r>
              <w:rPr>
                <w:rFonts w:hint="eastAsia" w:ascii="宋体" w:hAnsi="宋体"/>
                <w:color w:val="auto"/>
                <w:szCs w:val="21"/>
                <w:highlight w:val="none"/>
                <w:u w:val="single"/>
                <w:lang w:val="en-GB"/>
              </w:rPr>
              <w:t>　</w:t>
            </w:r>
            <w:r>
              <w:rPr>
                <w:rFonts w:hint="eastAsia" w:ascii="宋体" w:hAnsi="宋体"/>
                <w:color w:val="auto"/>
                <w:szCs w:val="21"/>
                <w:highlight w:val="none"/>
                <w:lang w:val="en-GB"/>
              </w:rPr>
              <w:t>期清单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68" w:type="dxa"/>
            <w:vMerge w:val="restart"/>
            <w:vAlign w:val="center"/>
          </w:tcPr>
          <w:p>
            <w:pPr>
              <w:tabs>
                <w:tab w:val="left" w:pos="1260"/>
              </w:tabs>
              <w:spacing w:line="360" w:lineRule="auto"/>
              <w:ind w:left="-86" w:leftChars="-41" w:right="-71" w:rightChars="-34"/>
              <w:jc w:val="center"/>
              <w:rPr>
                <w:rFonts w:ascii="宋体"/>
                <w:b/>
                <w:color w:val="auto"/>
                <w:szCs w:val="21"/>
                <w:highlight w:val="none"/>
                <w:lang w:val="en-GB"/>
              </w:rPr>
            </w:pPr>
            <w:r>
              <w:rPr>
                <w:rFonts w:hint="eastAsia" w:ascii="宋体" w:hAnsi="宋体"/>
                <w:b/>
                <w:color w:val="auto"/>
                <w:szCs w:val="21"/>
                <w:highlight w:val="none"/>
                <w:lang w:val="en-GB"/>
              </w:rPr>
              <w:t>环保标志产品</w:t>
            </w:r>
          </w:p>
        </w:tc>
        <w:tc>
          <w:tcPr>
            <w:tcW w:w="1935" w:type="dxa"/>
            <w:vAlign w:val="center"/>
          </w:tcPr>
          <w:p>
            <w:pPr>
              <w:tabs>
                <w:tab w:val="left" w:pos="1260"/>
              </w:tabs>
              <w:spacing w:line="360" w:lineRule="auto"/>
              <w:jc w:val="center"/>
              <w:rPr>
                <w:rFonts w:ascii="宋体"/>
                <w:color w:val="auto"/>
                <w:szCs w:val="21"/>
                <w:highlight w:val="none"/>
                <w:lang w:val="en-GB"/>
              </w:rPr>
            </w:pPr>
          </w:p>
        </w:tc>
        <w:tc>
          <w:tcPr>
            <w:tcW w:w="1834" w:type="dxa"/>
            <w:vAlign w:val="center"/>
          </w:tcPr>
          <w:p>
            <w:pPr>
              <w:tabs>
                <w:tab w:val="left" w:pos="1260"/>
              </w:tabs>
              <w:spacing w:line="360" w:lineRule="auto"/>
              <w:jc w:val="center"/>
              <w:rPr>
                <w:rFonts w:ascii="宋体"/>
                <w:color w:val="auto"/>
                <w:szCs w:val="21"/>
                <w:highlight w:val="none"/>
                <w:lang w:val="en-GB"/>
              </w:rPr>
            </w:pPr>
          </w:p>
        </w:tc>
        <w:tc>
          <w:tcPr>
            <w:tcW w:w="1622" w:type="dxa"/>
            <w:vAlign w:val="center"/>
          </w:tcPr>
          <w:p>
            <w:pPr>
              <w:tabs>
                <w:tab w:val="left" w:pos="1260"/>
              </w:tabs>
              <w:spacing w:line="360" w:lineRule="auto"/>
              <w:jc w:val="center"/>
              <w:rPr>
                <w:rFonts w:ascii="宋体"/>
                <w:color w:val="auto"/>
                <w:szCs w:val="21"/>
                <w:highlight w:val="none"/>
                <w:lang w:val="en-GB"/>
              </w:rPr>
            </w:pPr>
          </w:p>
        </w:tc>
        <w:tc>
          <w:tcPr>
            <w:tcW w:w="2803" w:type="dxa"/>
            <w:gridSpan w:val="2"/>
            <w:vAlign w:val="center"/>
          </w:tcPr>
          <w:p>
            <w:pPr>
              <w:tabs>
                <w:tab w:val="left" w:pos="1260"/>
              </w:tabs>
              <w:spacing w:line="360" w:lineRule="auto"/>
              <w:jc w:val="center"/>
              <w:rPr>
                <w:rFonts w:ascii="宋体"/>
                <w:color w:val="auto"/>
                <w:szCs w:val="21"/>
                <w:highlight w:val="none"/>
                <w:lang w:val="en-GB"/>
              </w:rPr>
            </w:pPr>
            <w:r>
              <w:rPr>
                <w:rFonts w:hint="eastAsia" w:ascii="宋体" w:hAnsi="宋体"/>
                <w:color w:val="auto"/>
                <w:szCs w:val="21"/>
                <w:highlight w:val="none"/>
                <w:lang w:val="en-GB"/>
              </w:rPr>
              <w:t>第</w:t>
            </w:r>
            <w:r>
              <w:rPr>
                <w:rFonts w:hint="eastAsia" w:ascii="宋体" w:hAnsi="宋体"/>
                <w:color w:val="auto"/>
                <w:szCs w:val="21"/>
                <w:highlight w:val="none"/>
                <w:u w:val="single"/>
                <w:lang w:val="en-GB"/>
              </w:rPr>
              <w:t>　</w:t>
            </w:r>
            <w:r>
              <w:rPr>
                <w:rFonts w:hint="eastAsia" w:ascii="宋体" w:hAnsi="宋体"/>
                <w:color w:val="auto"/>
                <w:szCs w:val="21"/>
                <w:highlight w:val="none"/>
                <w:lang w:val="en-GB"/>
              </w:rPr>
              <w:t>期清单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68" w:type="dxa"/>
            <w:vMerge w:val="continue"/>
            <w:vAlign w:val="center"/>
          </w:tcPr>
          <w:p>
            <w:pPr>
              <w:rPr>
                <w:rFonts w:ascii="宋体"/>
                <w:b/>
                <w:color w:val="auto"/>
                <w:szCs w:val="21"/>
                <w:highlight w:val="none"/>
                <w:lang w:val="en-GB"/>
              </w:rPr>
            </w:pPr>
          </w:p>
        </w:tc>
        <w:tc>
          <w:tcPr>
            <w:tcW w:w="1935" w:type="dxa"/>
            <w:vAlign w:val="center"/>
          </w:tcPr>
          <w:p>
            <w:pPr>
              <w:tabs>
                <w:tab w:val="left" w:pos="1260"/>
              </w:tabs>
              <w:spacing w:line="360" w:lineRule="auto"/>
              <w:jc w:val="center"/>
              <w:rPr>
                <w:rFonts w:ascii="宋体"/>
                <w:color w:val="auto"/>
                <w:szCs w:val="21"/>
                <w:highlight w:val="none"/>
                <w:lang w:val="en-GB"/>
              </w:rPr>
            </w:pPr>
          </w:p>
        </w:tc>
        <w:tc>
          <w:tcPr>
            <w:tcW w:w="1834" w:type="dxa"/>
            <w:vAlign w:val="center"/>
          </w:tcPr>
          <w:p>
            <w:pPr>
              <w:tabs>
                <w:tab w:val="left" w:pos="1260"/>
              </w:tabs>
              <w:spacing w:line="360" w:lineRule="auto"/>
              <w:jc w:val="center"/>
              <w:rPr>
                <w:rFonts w:ascii="宋体"/>
                <w:color w:val="auto"/>
                <w:szCs w:val="21"/>
                <w:highlight w:val="none"/>
                <w:lang w:val="en-GB"/>
              </w:rPr>
            </w:pPr>
          </w:p>
        </w:tc>
        <w:tc>
          <w:tcPr>
            <w:tcW w:w="1622" w:type="dxa"/>
            <w:vAlign w:val="center"/>
          </w:tcPr>
          <w:p>
            <w:pPr>
              <w:tabs>
                <w:tab w:val="left" w:pos="1260"/>
              </w:tabs>
              <w:spacing w:line="360" w:lineRule="auto"/>
              <w:jc w:val="center"/>
              <w:rPr>
                <w:rFonts w:ascii="宋体"/>
                <w:color w:val="auto"/>
                <w:szCs w:val="21"/>
                <w:highlight w:val="none"/>
                <w:lang w:val="en-GB"/>
              </w:rPr>
            </w:pPr>
          </w:p>
        </w:tc>
        <w:tc>
          <w:tcPr>
            <w:tcW w:w="2803" w:type="dxa"/>
            <w:gridSpan w:val="2"/>
            <w:vAlign w:val="center"/>
          </w:tcPr>
          <w:p>
            <w:pPr>
              <w:tabs>
                <w:tab w:val="left" w:pos="1260"/>
              </w:tabs>
              <w:spacing w:line="360" w:lineRule="auto"/>
              <w:jc w:val="center"/>
              <w:rPr>
                <w:rFonts w:ascii="宋体"/>
                <w:color w:val="auto"/>
                <w:szCs w:val="21"/>
                <w:highlight w:val="none"/>
                <w:lang w:val="en-GB"/>
              </w:rPr>
            </w:pPr>
            <w:r>
              <w:rPr>
                <w:rFonts w:hint="eastAsia" w:ascii="宋体" w:hAnsi="宋体"/>
                <w:color w:val="auto"/>
                <w:szCs w:val="21"/>
                <w:highlight w:val="none"/>
                <w:lang w:val="en-GB"/>
              </w:rPr>
              <w:t>第</w:t>
            </w:r>
            <w:r>
              <w:rPr>
                <w:rFonts w:hint="eastAsia" w:ascii="宋体" w:hAnsi="宋体"/>
                <w:color w:val="auto"/>
                <w:szCs w:val="21"/>
                <w:highlight w:val="none"/>
                <w:u w:val="single"/>
                <w:lang w:val="en-GB"/>
              </w:rPr>
              <w:t>　</w:t>
            </w:r>
            <w:r>
              <w:rPr>
                <w:rFonts w:hint="eastAsia" w:ascii="宋体" w:hAnsi="宋体"/>
                <w:color w:val="auto"/>
                <w:szCs w:val="21"/>
                <w:highlight w:val="none"/>
                <w:lang w:val="en-GB"/>
              </w:rPr>
              <w:t>期清单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68" w:type="dxa"/>
            <w:vAlign w:val="center"/>
          </w:tcPr>
          <w:p>
            <w:pPr>
              <w:tabs>
                <w:tab w:val="left" w:pos="1260"/>
              </w:tabs>
              <w:spacing w:line="360" w:lineRule="auto"/>
              <w:ind w:left="-86" w:leftChars="-41" w:right="-71" w:rightChars="-34"/>
              <w:jc w:val="center"/>
              <w:rPr>
                <w:rFonts w:ascii="宋体"/>
                <w:color w:val="auto"/>
                <w:szCs w:val="21"/>
                <w:highlight w:val="none"/>
                <w:lang w:val="en-GB"/>
              </w:rPr>
            </w:pPr>
            <w:r>
              <w:rPr>
                <w:rFonts w:hint="eastAsia" w:ascii="宋体" w:hAnsi="宋体"/>
                <w:b/>
                <w:color w:val="auto"/>
                <w:szCs w:val="21"/>
                <w:highlight w:val="none"/>
                <w:lang w:val="en-GB"/>
              </w:rPr>
              <w:t>说明</w:t>
            </w:r>
          </w:p>
        </w:tc>
        <w:tc>
          <w:tcPr>
            <w:tcW w:w="8194" w:type="dxa"/>
            <w:gridSpan w:val="5"/>
            <w:vAlign w:val="center"/>
          </w:tcPr>
          <w:p>
            <w:pPr>
              <w:tabs>
                <w:tab w:val="left" w:pos="1260"/>
              </w:tabs>
              <w:spacing w:line="360" w:lineRule="auto"/>
              <w:rPr>
                <w:rFonts w:ascii="宋体"/>
                <w:color w:val="auto"/>
                <w:szCs w:val="21"/>
                <w:highlight w:val="none"/>
                <w:lang w:val="en-GB"/>
              </w:rPr>
            </w:pPr>
          </w:p>
        </w:tc>
      </w:tr>
    </w:tbl>
    <w:p>
      <w:pPr>
        <w:tabs>
          <w:tab w:val="left" w:pos="360"/>
          <w:tab w:val="left" w:pos="993"/>
        </w:tabs>
        <w:ind w:left="850" w:leftChars="-67" w:hanging="991" w:hangingChars="472"/>
        <w:rPr>
          <w:rFonts w:ascii="宋体"/>
          <w:color w:val="auto"/>
          <w:szCs w:val="21"/>
          <w:highlight w:val="none"/>
          <w:lang w:val="en-GB"/>
        </w:rPr>
      </w:pPr>
      <w:r>
        <w:rPr>
          <w:rFonts w:hint="eastAsia" w:ascii="宋体" w:hAnsi="宋体"/>
          <w:color w:val="auto"/>
          <w:szCs w:val="21"/>
          <w:highlight w:val="none"/>
          <w:lang w:val="en-GB"/>
        </w:rPr>
        <w:t>注：</w:t>
      </w:r>
      <w:r>
        <w:rPr>
          <w:rFonts w:ascii="宋体"/>
          <w:color w:val="auto"/>
          <w:szCs w:val="21"/>
          <w:highlight w:val="none"/>
          <w:lang w:val="en-GB"/>
        </w:rPr>
        <w:tab/>
      </w:r>
    </w:p>
    <w:p>
      <w:pPr>
        <w:widowControl w:val="0"/>
        <w:numPr>
          <w:ilvl w:val="0"/>
          <w:numId w:val="34"/>
        </w:numPr>
        <w:tabs>
          <w:tab w:val="left" w:pos="426"/>
          <w:tab w:val="left" w:pos="567"/>
        </w:tabs>
        <w:jc w:val="both"/>
        <w:rPr>
          <w:rFonts w:ascii="宋体"/>
          <w:color w:val="auto"/>
          <w:szCs w:val="21"/>
          <w:highlight w:val="none"/>
          <w:lang w:val="en-GB"/>
        </w:rPr>
      </w:pPr>
      <w:r>
        <w:rPr>
          <w:rFonts w:hint="eastAsia" w:ascii="宋体" w:hAnsi="宋体"/>
          <w:color w:val="auto"/>
          <w:szCs w:val="21"/>
          <w:highlight w:val="none"/>
          <w:lang w:val="en-GB"/>
        </w:rPr>
        <w:t>制造商为小型或微型企业时才需要填“制造商企业类型”栏，填写内容为“小型”或“微型”；</w:t>
      </w:r>
    </w:p>
    <w:p>
      <w:pPr>
        <w:widowControl w:val="0"/>
        <w:numPr>
          <w:ilvl w:val="0"/>
          <w:numId w:val="34"/>
        </w:numPr>
        <w:tabs>
          <w:tab w:val="left" w:pos="426"/>
          <w:tab w:val="left" w:pos="567"/>
        </w:tabs>
        <w:jc w:val="both"/>
        <w:rPr>
          <w:rFonts w:ascii="宋体"/>
          <w:color w:val="auto"/>
          <w:szCs w:val="21"/>
          <w:highlight w:val="none"/>
          <w:lang w:val="en-GB"/>
        </w:rPr>
      </w:pPr>
      <w:r>
        <w:rPr>
          <w:rFonts w:hint="eastAsia" w:ascii="宋体" w:hAnsi="宋体"/>
          <w:color w:val="auto"/>
          <w:szCs w:val="21"/>
          <w:highlight w:val="none"/>
          <w:lang w:val="en-GB"/>
        </w:rPr>
        <w:t>“节能产品、环保标志产品”是属于国家行业主管部门颁布的清单目录中的产品，须填写认证证书编号，并在“清单”栏中填写属于“第</w:t>
      </w:r>
      <w:r>
        <w:rPr>
          <w:rFonts w:hint="eastAsia" w:ascii="宋体" w:hAnsi="宋体"/>
          <w:color w:val="auto"/>
          <w:szCs w:val="21"/>
          <w:highlight w:val="none"/>
          <w:u w:val="single"/>
          <w:lang w:val="en-GB"/>
        </w:rPr>
        <w:t>　</w:t>
      </w:r>
      <w:r>
        <w:rPr>
          <w:rFonts w:hint="eastAsia" w:ascii="宋体" w:hAnsi="宋体"/>
          <w:color w:val="auto"/>
          <w:szCs w:val="21"/>
          <w:highlight w:val="none"/>
          <w:lang w:val="en-GB"/>
        </w:rPr>
        <w:t>期清单”的产品（产品被列入多期清单的，</w:t>
      </w:r>
      <w:r>
        <w:rPr>
          <w:rFonts w:hint="eastAsia" w:ascii="宋体" w:hAnsi="宋体"/>
          <w:b/>
          <w:color w:val="auto"/>
          <w:szCs w:val="21"/>
          <w:highlight w:val="none"/>
          <w:lang w:val="en-GB"/>
        </w:rPr>
        <w:t>以最新一期为准</w:t>
      </w:r>
      <w:r>
        <w:rPr>
          <w:rFonts w:hint="eastAsia" w:ascii="宋体" w:hAnsi="宋体"/>
          <w:color w:val="auto"/>
          <w:szCs w:val="21"/>
          <w:highlight w:val="none"/>
          <w:lang w:val="en-GB"/>
        </w:rPr>
        <w:t>），同时提供有效期内的证书复印件以及下述文件</w:t>
      </w:r>
      <w:r>
        <w:rPr>
          <w:rFonts w:hint="eastAsia" w:ascii="宋体" w:hAnsi="宋体"/>
          <w:color w:val="auto"/>
          <w:szCs w:val="21"/>
          <w:highlight w:val="none"/>
        </w:rPr>
        <w:t>（均为复印件，加盖投标人公章）</w:t>
      </w:r>
      <w:r>
        <w:rPr>
          <w:rFonts w:hint="eastAsia" w:ascii="宋体" w:hAnsi="宋体"/>
          <w:color w:val="auto"/>
          <w:szCs w:val="21"/>
          <w:highlight w:val="none"/>
          <w:lang w:val="en-GB"/>
        </w:rPr>
        <w:t>：</w:t>
      </w:r>
    </w:p>
    <w:p>
      <w:pPr>
        <w:widowControl w:val="0"/>
        <w:numPr>
          <w:ilvl w:val="1"/>
          <w:numId w:val="34"/>
        </w:numPr>
        <w:tabs>
          <w:tab w:val="left" w:pos="993"/>
        </w:tabs>
        <w:ind w:left="0" w:firstLine="426"/>
        <w:jc w:val="both"/>
        <w:rPr>
          <w:rFonts w:ascii="宋体"/>
          <w:color w:val="auto"/>
          <w:szCs w:val="21"/>
          <w:highlight w:val="none"/>
        </w:rPr>
      </w:pPr>
      <w:r>
        <w:rPr>
          <w:rFonts w:hint="eastAsia" w:ascii="宋体" w:hAnsi="宋体"/>
          <w:color w:val="auto"/>
          <w:szCs w:val="21"/>
          <w:highlight w:val="none"/>
        </w:rPr>
        <w:t>属于“节能产品政府采购清单”中品目的产品，提供“节能产品政府采购清单（第</w:t>
      </w:r>
      <w:r>
        <w:rPr>
          <w:rFonts w:ascii="宋体" w:hAnsi="宋体"/>
          <w:color w:val="auto"/>
          <w:szCs w:val="21"/>
          <w:highlight w:val="none"/>
        </w:rPr>
        <w:t xml:space="preserve">___ </w:t>
      </w:r>
      <w:r>
        <w:rPr>
          <w:rFonts w:hint="eastAsia" w:ascii="宋体" w:hAnsi="宋体"/>
          <w:color w:val="auto"/>
          <w:szCs w:val="21"/>
          <w:highlight w:val="none"/>
        </w:rPr>
        <w:t>期）”中投标产品所在清单页并加盖投标人公章，节能清单在中华人民共和国财政部网站（</w:t>
      </w:r>
      <w:r>
        <w:rPr>
          <w:rFonts w:ascii="宋体" w:hAnsi="宋体"/>
          <w:color w:val="auto"/>
          <w:szCs w:val="21"/>
          <w:highlight w:val="none"/>
        </w:rPr>
        <w:t>http://www.mof.gov.cn</w:t>
      </w:r>
      <w:r>
        <w:rPr>
          <w:rFonts w:hint="eastAsia" w:ascii="宋体" w:hAnsi="宋体"/>
          <w:color w:val="auto"/>
          <w:szCs w:val="21"/>
          <w:highlight w:val="none"/>
        </w:rPr>
        <w:t>）、中国政府采购网（</w:t>
      </w:r>
      <w:r>
        <w:rPr>
          <w:rFonts w:ascii="宋体" w:hAnsi="宋体"/>
          <w:color w:val="auto"/>
          <w:szCs w:val="21"/>
          <w:highlight w:val="none"/>
        </w:rPr>
        <w:t>http://www.ccgp.gov.cn/</w:t>
      </w:r>
      <w:r>
        <w:rPr>
          <w:rFonts w:hint="eastAsia" w:ascii="宋体" w:hAnsi="宋体"/>
          <w:color w:val="auto"/>
          <w:szCs w:val="21"/>
          <w:highlight w:val="none"/>
        </w:rPr>
        <w:t>）、国家发展改革委网站（</w:t>
      </w:r>
      <w:r>
        <w:rPr>
          <w:rFonts w:ascii="宋体" w:hAnsi="宋体"/>
          <w:color w:val="auto"/>
          <w:szCs w:val="21"/>
          <w:highlight w:val="none"/>
        </w:rPr>
        <w:t>http://hzs.ndrc.gov.cn/</w:t>
      </w:r>
      <w:r>
        <w:rPr>
          <w:rFonts w:hint="eastAsia" w:ascii="宋体" w:hAnsi="宋体"/>
          <w:color w:val="auto"/>
          <w:szCs w:val="21"/>
          <w:highlight w:val="none"/>
        </w:rPr>
        <w:t>）和中国质量认证中心网站（</w:t>
      </w:r>
      <w:r>
        <w:rPr>
          <w:rFonts w:ascii="宋体" w:hAnsi="宋体"/>
          <w:color w:val="auto"/>
          <w:szCs w:val="21"/>
          <w:highlight w:val="none"/>
        </w:rPr>
        <w:t>http://www.cqc.com.cn/</w:t>
      </w:r>
      <w:r>
        <w:rPr>
          <w:rFonts w:hint="eastAsia" w:ascii="宋体" w:hAnsi="宋体"/>
          <w:color w:val="auto"/>
          <w:szCs w:val="21"/>
          <w:highlight w:val="none"/>
        </w:rPr>
        <w:t>）上发布；</w:t>
      </w:r>
    </w:p>
    <w:p>
      <w:pPr>
        <w:widowControl w:val="0"/>
        <w:numPr>
          <w:ilvl w:val="1"/>
          <w:numId w:val="34"/>
        </w:numPr>
        <w:tabs>
          <w:tab w:val="left" w:pos="993"/>
        </w:tabs>
        <w:ind w:left="0" w:firstLine="426"/>
        <w:jc w:val="both"/>
        <w:rPr>
          <w:rFonts w:ascii="宋体"/>
          <w:color w:val="auto"/>
          <w:szCs w:val="21"/>
          <w:highlight w:val="none"/>
        </w:rPr>
      </w:pPr>
      <w:r>
        <w:rPr>
          <w:rFonts w:hint="eastAsia" w:ascii="宋体" w:hAnsi="宋体"/>
          <w:color w:val="auto"/>
          <w:szCs w:val="21"/>
          <w:highlight w:val="none"/>
        </w:rPr>
        <w:t>属于“环境标志产品政府采购清单”中品目的产品，提供最新“环境标志产品政府采购清单”中投标产品所在清单页并加盖投标人公章，清单在中华人民共和国财政部网站（</w:t>
      </w:r>
      <w:r>
        <w:rPr>
          <w:rFonts w:ascii="宋体" w:hAnsi="宋体"/>
          <w:color w:val="auto"/>
          <w:szCs w:val="21"/>
          <w:highlight w:val="none"/>
        </w:rPr>
        <w:t>http://www.mof.gov.cn</w:t>
      </w:r>
      <w:r>
        <w:rPr>
          <w:rFonts w:hint="eastAsia" w:ascii="宋体" w:hAnsi="宋体"/>
          <w:color w:val="auto"/>
          <w:szCs w:val="21"/>
          <w:highlight w:val="none"/>
        </w:rPr>
        <w:t>）、中国政府采购网（</w:t>
      </w:r>
      <w:r>
        <w:rPr>
          <w:rFonts w:ascii="宋体" w:hAnsi="宋体"/>
          <w:color w:val="auto"/>
          <w:szCs w:val="21"/>
          <w:highlight w:val="none"/>
        </w:rPr>
        <w:t>http://www.ccgp.gov.cn/</w:t>
      </w:r>
      <w:r>
        <w:rPr>
          <w:rFonts w:hint="eastAsia" w:ascii="宋体" w:hAnsi="宋体"/>
          <w:color w:val="auto"/>
          <w:szCs w:val="21"/>
          <w:highlight w:val="none"/>
        </w:rPr>
        <w:t>）、中华人民共和国环境保护部网站（</w:t>
      </w:r>
      <w:r>
        <w:rPr>
          <w:rFonts w:ascii="宋体" w:hAnsi="宋体"/>
          <w:color w:val="auto"/>
          <w:szCs w:val="21"/>
          <w:highlight w:val="none"/>
        </w:rPr>
        <w:t>http://www.zhb.gov.cn</w:t>
      </w:r>
      <w:r>
        <w:rPr>
          <w:rFonts w:hint="eastAsia" w:ascii="宋体" w:hAnsi="宋体"/>
          <w:color w:val="auto"/>
          <w:szCs w:val="21"/>
          <w:highlight w:val="none"/>
        </w:rPr>
        <w:t>）、中国绿色采购网（</w:t>
      </w:r>
      <w:r>
        <w:rPr>
          <w:rFonts w:ascii="宋体" w:hAnsi="宋体"/>
          <w:color w:val="auto"/>
          <w:szCs w:val="21"/>
          <w:highlight w:val="none"/>
        </w:rPr>
        <w:t>http://www.cgpn.org/</w:t>
      </w:r>
      <w:r>
        <w:rPr>
          <w:rFonts w:hint="eastAsia" w:ascii="宋体" w:hAnsi="宋体"/>
          <w:color w:val="auto"/>
          <w:szCs w:val="21"/>
          <w:highlight w:val="none"/>
        </w:rPr>
        <w:t>）上发布。</w:t>
      </w:r>
    </w:p>
    <w:p>
      <w:pPr>
        <w:spacing w:line="360" w:lineRule="auto"/>
        <w:ind w:left="425"/>
        <w:rPr>
          <w:rFonts w:ascii="宋体" w:cs="宋体"/>
          <w:color w:val="auto"/>
          <w:szCs w:val="21"/>
          <w:highlight w:val="none"/>
        </w:rPr>
      </w:pPr>
      <w:r>
        <w:rPr>
          <w:rFonts w:hint="eastAsia" w:ascii="宋体" w:hAnsi="宋体" w:cs="宋体"/>
          <w:color w:val="auto"/>
          <w:szCs w:val="21"/>
          <w:highlight w:val="none"/>
        </w:rPr>
        <w:t>投标人名称（盖章）：</w:t>
      </w:r>
    </w:p>
    <w:p>
      <w:pPr>
        <w:spacing w:line="360" w:lineRule="auto"/>
        <w:ind w:left="425"/>
        <w:rPr>
          <w:rFonts w:ascii="宋体" w:cs="宋体"/>
          <w:color w:val="auto"/>
          <w:szCs w:val="21"/>
          <w:highlight w:val="none"/>
        </w:rPr>
      </w:pPr>
      <w:r>
        <w:rPr>
          <w:rFonts w:hint="eastAsia" w:ascii="宋体" w:hAnsi="宋体" w:cs="宋体"/>
          <w:color w:val="auto"/>
          <w:szCs w:val="21"/>
          <w:highlight w:val="none"/>
        </w:rPr>
        <w:t>投标人法定代表人（或法定代表人授权代表）签字：</w:t>
      </w:r>
    </w:p>
    <w:p>
      <w:pPr>
        <w:spacing w:line="360" w:lineRule="auto"/>
        <w:ind w:left="425"/>
        <w:rPr>
          <w:rFonts w:ascii="宋体"/>
          <w:color w:val="auto"/>
          <w:szCs w:val="21"/>
          <w:highlight w:val="none"/>
          <w:lang w:val="en-GB"/>
        </w:rPr>
      </w:pPr>
      <w:r>
        <w:rPr>
          <w:rFonts w:hint="eastAsia" w:ascii="宋体" w:hAnsi="宋体" w:cs="宋体"/>
          <w:color w:val="auto"/>
          <w:szCs w:val="21"/>
          <w:highlight w:val="none"/>
        </w:rPr>
        <w:t>日期：年月</w:t>
      </w:r>
    </w:p>
    <w:p>
      <w:pPr>
        <w:spacing w:line="440" w:lineRule="exact"/>
        <w:rPr>
          <w:rFonts w:ascii="宋体"/>
          <w:color w:val="auto"/>
          <w:szCs w:val="21"/>
          <w:highlight w:val="none"/>
          <w:lang w:val="en-GB"/>
        </w:rPr>
      </w:pPr>
    </w:p>
    <w:p>
      <w:pPr>
        <w:pStyle w:val="6"/>
        <w:jc w:val="center"/>
        <w:rPr>
          <w:rFonts w:hAnsi="宋体"/>
          <w:b/>
          <w:bCs/>
          <w:color w:val="auto"/>
          <w:sz w:val="28"/>
          <w:szCs w:val="28"/>
          <w:highlight w:val="none"/>
        </w:rPr>
      </w:pPr>
      <w:bookmarkStart w:id="60" w:name="_Toc482089265"/>
      <w:bookmarkStart w:id="61" w:name="_Toc202252035"/>
      <w:bookmarkStart w:id="62" w:name="_Toc202251701"/>
      <w:bookmarkStart w:id="63" w:name="_Toc202254106"/>
      <w:bookmarkStart w:id="64" w:name="_Toc489282808"/>
      <w:bookmarkStart w:id="65" w:name="_Toc202251076"/>
      <w:bookmarkStart w:id="66" w:name="_Toc202819879"/>
      <w:bookmarkStart w:id="67" w:name="_Toc482088811"/>
      <w:bookmarkStart w:id="68" w:name="_Toc20040"/>
      <w:bookmarkStart w:id="69" w:name="_Toc202820352"/>
      <w:bookmarkStart w:id="70" w:name="_Toc202816997"/>
      <w:r>
        <w:rPr>
          <w:rFonts w:hAnsi="宋体"/>
          <w:b/>
          <w:bCs/>
          <w:color w:val="auto"/>
          <w:sz w:val="28"/>
          <w:szCs w:val="28"/>
          <w:highlight w:val="none"/>
        </w:rPr>
        <w:t>3.</w:t>
      </w:r>
      <w:r>
        <w:rPr>
          <w:rFonts w:hint="eastAsia" w:hAnsi="宋体"/>
          <w:b/>
          <w:bCs/>
          <w:color w:val="auto"/>
          <w:sz w:val="28"/>
          <w:szCs w:val="28"/>
          <w:highlight w:val="none"/>
        </w:rPr>
        <w:t>5中小企业声明函</w:t>
      </w:r>
    </w:p>
    <w:p>
      <w:pPr>
        <w:wordWrap w:val="0"/>
        <w:rPr>
          <w:color w:val="auto"/>
          <w:szCs w:val="21"/>
          <w:highlight w:val="none"/>
        </w:rPr>
      </w:pPr>
    </w:p>
    <w:p>
      <w:pPr>
        <w:wordWrap w:val="0"/>
        <w:spacing w:line="360" w:lineRule="auto"/>
        <w:ind w:firstLine="420" w:firstLineChars="200"/>
        <w:rPr>
          <w:color w:val="auto"/>
          <w:szCs w:val="21"/>
          <w:highlight w:val="none"/>
        </w:rPr>
      </w:pPr>
      <w:r>
        <w:rPr>
          <w:rFonts w:hint="eastAsia"/>
          <w:color w:val="auto"/>
          <w:szCs w:val="21"/>
          <w:highlight w:val="none"/>
        </w:rPr>
        <w:t>本公司郑重声明，根据《政府采购促进中小企业发展暂行办法》（财库</w:t>
      </w:r>
      <w:r>
        <w:rPr>
          <w:color w:val="auto"/>
          <w:szCs w:val="21"/>
          <w:highlight w:val="none"/>
        </w:rPr>
        <w:t>[2011]181</w:t>
      </w:r>
      <w:r>
        <w:rPr>
          <w:rFonts w:hint="eastAsia"/>
          <w:color w:val="auto"/>
          <w:szCs w:val="21"/>
          <w:highlight w:val="none"/>
        </w:rPr>
        <w:t>号）的规定，本公司为（请填写：中型、小型、微型）企业。即，本公司同时满足以下条件：</w:t>
      </w:r>
    </w:p>
    <w:p>
      <w:pPr>
        <w:wordWrap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、根据《工业和信息化部、国家统计局、国家发展和改革委员会、财政部关于印发中小企业划型标准规定的通知》（工信部联企业</w:t>
      </w:r>
      <w:r>
        <w:rPr>
          <w:color w:val="auto"/>
          <w:szCs w:val="21"/>
          <w:highlight w:val="none"/>
        </w:rPr>
        <w:t>[2011]300</w:t>
      </w:r>
      <w:r>
        <w:rPr>
          <w:rFonts w:hint="eastAsia"/>
          <w:color w:val="auto"/>
          <w:szCs w:val="21"/>
          <w:highlight w:val="none"/>
        </w:rPr>
        <w:t>号）规定的划分标准，本公司为（请填写：中型、小型、微型）企业。</w:t>
      </w:r>
    </w:p>
    <w:p>
      <w:pPr>
        <w:wordWrap w:val="0"/>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、本公司参加单位的项目采购活动提供本企业制造的货物，由本企业承担工程、提供服务，或者提供其他（请填写：中型、小型、微型）企业制造的货物。本条所称货物不包括使用大型企业注册商标的货物。</w:t>
      </w:r>
    </w:p>
    <w:p>
      <w:pPr>
        <w:wordWrap w:val="0"/>
        <w:spacing w:line="360" w:lineRule="auto"/>
        <w:ind w:firstLine="422" w:firstLineChars="200"/>
        <w:rPr>
          <w:b/>
          <w:color w:val="auto"/>
          <w:sz w:val="28"/>
          <w:szCs w:val="28"/>
          <w:highlight w:val="none"/>
        </w:rPr>
      </w:pPr>
      <w:r>
        <w:rPr>
          <w:rFonts w:hint="eastAsia"/>
          <w:b/>
          <w:color w:val="auto"/>
          <w:szCs w:val="21"/>
          <w:highlight w:val="none"/>
        </w:rPr>
        <w:t>本公司对上述声明的真实性负责。如有虚假、将依法承担相应责任。</w:t>
      </w:r>
    </w:p>
    <w:p>
      <w:pPr>
        <w:wordWrap w:val="0"/>
        <w:rPr>
          <w:color w:val="auto"/>
          <w:szCs w:val="21"/>
          <w:highlight w:val="none"/>
        </w:rPr>
      </w:pPr>
    </w:p>
    <w:p>
      <w:pPr>
        <w:wordWrap w:val="0"/>
        <w:rPr>
          <w:color w:val="auto"/>
          <w:szCs w:val="21"/>
          <w:highlight w:val="none"/>
        </w:rPr>
      </w:pPr>
    </w:p>
    <w:p>
      <w:pPr>
        <w:wordWrap w:val="0"/>
        <w:spacing w:line="360" w:lineRule="auto"/>
        <w:ind w:right="420"/>
        <w:jc w:val="center"/>
        <w:rPr>
          <w:color w:val="auto"/>
          <w:szCs w:val="21"/>
          <w:highlight w:val="none"/>
        </w:rPr>
      </w:pPr>
      <w:r>
        <w:rPr>
          <w:rFonts w:hint="eastAsia"/>
          <w:color w:val="auto"/>
          <w:szCs w:val="21"/>
          <w:highlight w:val="none"/>
        </w:rPr>
        <w:t>企业名称（盖章）：</w:t>
      </w:r>
    </w:p>
    <w:p>
      <w:pPr>
        <w:wordWrap w:val="0"/>
        <w:spacing w:line="360" w:lineRule="auto"/>
        <w:ind w:right="420"/>
        <w:jc w:val="center"/>
        <w:rPr>
          <w:color w:val="auto"/>
          <w:szCs w:val="21"/>
          <w:highlight w:val="none"/>
        </w:rPr>
      </w:pPr>
      <w:r>
        <w:rPr>
          <w:rFonts w:hint="eastAsia"/>
          <w:color w:val="auto"/>
          <w:szCs w:val="21"/>
          <w:highlight w:val="none"/>
        </w:rPr>
        <w:t>日期：</w:t>
      </w:r>
    </w:p>
    <w:p>
      <w:pPr>
        <w:wordWrap w:val="0"/>
        <w:spacing w:line="500" w:lineRule="exact"/>
        <w:ind w:left="735" w:leftChars="200" w:hanging="315" w:hangingChars="150"/>
        <w:rPr>
          <w:rFonts w:ascii="宋体"/>
          <w:color w:val="auto"/>
          <w:szCs w:val="21"/>
          <w:highlight w:val="none"/>
        </w:rPr>
      </w:pPr>
    </w:p>
    <w:p>
      <w:pPr>
        <w:wordWrap w:val="0"/>
        <w:spacing w:line="500" w:lineRule="exact"/>
        <w:ind w:left="735" w:leftChars="200" w:hanging="315" w:hangingChars="150"/>
        <w:jc w:val="center"/>
        <w:rPr>
          <w:rFonts w:ascii="宋体"/>
          <w:color w:val="auto"/>
          <w:szCs w:val="21"/>
          <w:highlight w:val="none"/>
        </w:rPr>
      </w:pPr>
      <w:r>
        <w:rPr>
          <w:rFonts w:hint="eastAsia" w:ascii="宋体" w:hAnsi="宋体"/>
          <w:color w:val="auto"/>
          <w:szCs w:val="21"/>
          <w:highlight w:val="none"/>
        </w:rPr>
        <w:t>提供小型或微型</w:t>
      </w:r>
      <w:r>
        <w:rPr>
          <w:rFonts w:hint="eastAsia"/>
          <w:color w:val="auto"/>
          <w:szCs w:val="21"/>
          <w:highlight w:val="none"/>
        </w:rPr>
        <w:t>企业制造的货物（或本企业承担工程、提供服务）一览表</w:t>
      </w:r>
    </w:p>
    <w:tbl>
      <w:tblPr>
        <w:tblStyle w:val="55"/>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80"/>
        <w:gridCol w:w="1369"/>
        <w:gridCol w:w="1370"/>
        <w:gridCol w:w="1369"/>
        <w:gridCol w:w="137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648"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序号</w:t>
            </w:r>
          </w:p>
        </w:tc>
        <w:tc>
          <w:tcPr>
            <w:tcW w:w="1980"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货物名称</w:t>
            </w:r>
          </w:p>
        </w:tc>
        <w:tc>
          <w:tcPr>
            <w:tcW w:w="1369"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制造商</w:t>
            </w:r>
          </w:p>
        </w:tc>
        <w:tc>
          <w:tcPr>
            <w:tcW w:w="1370" w:type="dxa"/>
          </w:tcPr>
          <w:p>
            <w:pPr>
              <w:pStyle w:val="27"/>
              <w:wordWrap w:val="0"/>
              <w:spacing w:line="480" w:lineRule="exact"/>
              <w:jc w:val="left"/>
              <w:rPr>
                <w:rFonts w:ascii="Times New Roman" w:hAnsi="Times New Roman"/>
                <w:color w:val="auto"/>
                <w:kern w:val="2"/>
                <w:sz w:val="21"/>
                <w:szCs w:val="21"/>
                <w:highlight w:val="none"/>
              </w:rPr>
            </w:pPr>
            <w:r>
              <w:rPr>
                <w:rFonts w:hint="eastAsia" w:hAnsi="宋体"/>
                <w:color w:val="auto"/>
                <w:kern w:val="2"/>
                <w:sz w:val="21"/>
                <w:szCs w:val="21"/>
                <w:highlight w:val="none"/>
              </w:rPr>
              <w:t>小型或微型</w:t>
            </w:r>
            <w:r>
              <w:rPr>
                <w:rFonts w:hint="eastAsia"/>
                <w:color w:val="auto"/>
                <w:kern w:val="2"/>
                <w:sz w:val="21"/>
                <w:szCs w:val="21"/>
                <w:highlight w:val="none"/>
              </w:rPr>
              <w:t>企业</w:t>
            </w:r>
          </w:p>
        </w:tc>
        <w:tc>
          <w:tcPr>
            <w:tcW w:w="1369"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数量</w:t>
            </w:r>
          </w:p>
        </w:tc>
        <w:tc>
          <w:tcPr>
            <w:tcW w:w="1370"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单价</w:t>
            </w:r>
          </w:p>
        </w:tc>
        <w:tc>
          <w:tcPr>
            <w:tcW w:w="1370"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648" w:type="dxa"/>
          </w:tcPr>
          <w:p>
            <w:pPr>
              <w:pStyle w:val="27"/>
              <w:wordWrap w:val="0"/>
              <w:spacing w:line="480" w:lineRule="exact"/>
              <w:jc w:val="left"/>
              <w:rPr>
                <w:rFonts w:ascii="Times New Roman" w:hAnsi="Times New Roman"/>
                <w:color w:val="auto"/>
                <w:kern w:val="2"/>
                <w:sz w:val="21"/>
                <w:szCs w:val="21"/>
                <w:highlight w:val="none"/>
              </w:rPr>
            </w:pPr>
          </w:p>
        </w:tc>
        <w:tc>
          <w:tcPr>
            <w:tcW w:w="198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648" w:type="dxa"/>
          </w:tcPr>
          <w:p>
            <w:pPr>
              <w:pStyle w:val="27"/>
              <w:wordWrap w:val="0"/>
              <w:spacing w:line="480" w:lineRule="exact"/>
              <w:jc w:val="left"/>
              <w:rPr>
                <w:rFonts w:ascii="Times New Roman" w:hAnsi="Times New Roman"/>
                <w:color w:val="auto"/>
                <w:kern w:val="2"/>
                <w:sz w:val="21"/>
                <w:szCs w:val="21"/>
                <w:highlight w:val="none"/>
              </w:rPr>
            </w:pPr>
          </w:p>
        </w:tc>
        <w:tc>
          <w:tcPr>
            <w:tcW w:w="198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648" w:type="dxa"/>
          </w:tcPr>
          <w:p>
            <w:pPr>
              <w:pStyle w:val="27"/>
              <w:wordWrap w:val="0"/>
              <w:spacing w:line="480" w:lineRule="exact"/>
              <w:jc w:val="left"/>
              <w:rPr>
                <w:rFonts w:ascii="Times New Roman" w:hAnsi="Times New Roman"/>
                <w:color w:val="auto"/>
                <w:kern w:val="2"/>
                <w:sz w:val="21"/>
                <w:szCs w:val="21"/>
                <w:highlight w:val="none"/>
              </w:rPr>
            </w:pPr>
          </w:p>
        </w:tc>
        <w:tc>
          <w:tcPr>
            <w:tcW w:w="198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648" w:type="dxa"/>
          </w:tcPr>
          <w:p>
            <w:pPr>
              <w:pStyle w:val="27"/>
              <w:wordWrap w:val="0"/>
              <w:spacing w:line="480" w:lineRule="exact"/>
              <w:jc w:val="left"/>
              <w:rPr>
                <w:rFonts w:ascii="Times New Roman" w:hAnsi="Times New Roman"/>
                <w:color w:val="auto"/>
                <w:kern w:val="2"/>
                <w:sz w:val="21"/>
                <w:szCs w:val="21"/>
                <w:highlight w:val="none"/>
              </w:rPr>
            </w:pPr>
          </w:p>
        </w:tc>
        <w:tc>
          <w:tcPr>
            <w:tcW w:w="198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648" w:type="dxa"/>
          </w:tcPr>
          <w:p>
            <w:pPr>
              <w:pStyle w:val="27"/>
              <w:wordWrap w:val="0"/>
              <w:spacing w:line="480" w:lineRule="exact"/>
              <w:jc w:val="left"/>
              <w:rPr>
                <w:rFonts w:ascii="Times New Roman" w:hAnsi="Times New Roman"/>
                <w:color w:val="auto"/>
                <w:kern w:val="2"/>
                <w:sz w:val="21"/>
                <w:szCs w:val="21"/>
                <w:highlight w:val="none"/>
              </w:rPr>
            </w:pPr>
          </w:p>
        </w:tc>
        <w:tc>
          <w:tcPr>
            <w:tcW w:w="198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2628" w:type="dxa"/>
            <w:gridSpan w:val="2"/>
          </w:tcPr>
          <w:p>
            <w:pPr>
              <w:pStyle w:val="27"/>
              <w:wordWrap w:val="0"/>
              <w:spacing w:line="480" w:lineRule="exact"/>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合计</w:t>
            </w:r>
          </w:p>
        </w:tc>
        <w:tc>
          <w:tcPr>
            <w:tcW w:w="6848" w:type="dxa"/>
            <w:gridSpan w:val="5"/>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元</w:t>
            </w:r>
          </w:p>
        </w:tc>
      </w:tr>
    </w:tbl>
    <w:p>
      <w:pPr>
        <w:wordWrap w:val="0"/>
        <w:spacing w:line="500" w:lineRule="exact"/>
        <w:ind w:left="735" w:leftChars="200" w:hanging="315" w:hangingChars="150"/>
        <w:rPr>
          <w:rFonts w:ascii="宋体"/>
          <w:color w:val="auto"/>
          <w:szCs w:val="21"/>
          <w:highlight w:val="none"/>
        </w:rPr>
      </w:pPr>
      <w:r>
        <w:rPr>
          <w:rFonts w:hint="eastAsia" w:ascii="宋体" w:hAnsi="宋体"/>
          <w:color w:val="auto"/>
          <w:szCs w:val="21"/>
          <w:highlight w:val="none"/>
        </w:rPr>
        <w:t>注：供应商自行填写上表，以便进行价格评审。</w:t>
      </w:r>
    </w:p>
    <w:p>
      <w:pPr>
        <w:wordWrap w:val="0"/>
        <w:spacing w:line="500" w:lineRule="exact"/>
        <w:ind w:left="735" w:leftChars="200" w:hanging="315" w:hangingChars="150"/>
        <w:rPr>
          <w:rFonts w:ascii="宋体"/>
          <w:color w:val="auto"/>
          <w:szCs w:val="21"/>
          <w:highlight w:val="none"/>
        </w:rPr>
      </w:pPr>
    </w:p>
    <w:p>
      <w:pPr>
        <w:wordWrap w:val="0"/>
        <w:spacing w:line="500" w:lineRule="exact"/>
        <w:ind w:left="735" w:leftChars="200" w:hanging="315" w:hangingChars="150"/>
        <w:rPr>
          <w:rFonts w:ascii="宋体"/>
          <w:color w:val="auto"/>
          <w:szCs w:val="21"/>
          <w:highlight w:val="none"/>
        </w:rPr>
      </w:pPr>
    </w:p>
    <w:p>
      <w:pPr>
        <w:pStyle w:val="6"/>
        <w:keepNext/>
        <w:keepLines/>
        <w:wordWrap w:val="0"/>
        <w:rPr>
          <w:rFonts w:hAnsi="宋体"/>
          <w:b/>
          <w:bCs/>
          <w:color w:val="auto"/>
          <w:kern w:val="2"/>
          <w:sz w:val="28"/>
          <w:szCs w:val="28"/>
          <w:highlight w:val="none"/>
        </w:rPr>
      </w:pPr>
    </w:p>
    <w:p>
      <w:pPr>
        <w:pStyle w:val="6"/>
        <w:keepNext/>
        <w:keepLines/>
        <w:wordWrap w:val="0"/>
        <w:rPr>
          <w:rFonts w:hAnsi="宋体"/>
          <w:b/>
          <w:bCs/>
          <w:color w:val="auto"/>
          <w:kern w:val="2"/>
          <w:sz w:val="28"/>
          <w:szCs w:val="28"/>
          <w:highlight w:val="none"/>
        </w:rPr>
      </w:pPr>
    </w:p>
    <w:p/>
    <w:p>
      <w:pPr>
        <w:rPr>
          <w:color w:val="auto"/>
          <w:highlight w:val="none"/>
        </w:rPr>
      </w:pPr>
    </w:p>
    <w:p>
      <w:pPr>
        <w:pStyle w:val="6"/>
        <w:keepNext/>
        <w:keepLines/>
        <w:wordWrap w:val="0"/>
        <w:ind w:left="0" w:firstLine="0"/>
        <w:jc w:val="center"/>
        <w:rPr>
          <w:rFonts w:hAnsi="宋体"/>
          <w:b/>
          <w:bCs/>
          <w:color w:val="auto"/>
          <w:kern w:val="2"/>
          <w:sz w:val="28"/>
          <w:szCs w:val="28"/>
          <w:highlight w:val="none"/>
        </w:rPr>
      </w:pPr>
      <w:bookmarkStart w:id="71" w:name="OLE_LINK13"/>
      <w:bookmarkStart w:id="72" w:name="OLE_LINK14"/>
      <w:r>
        <w:rPr>
          <w:rFonts w:hAnsi="宋体"/>
          <w:b/>
          <w:bCs/>
          <w:color w:val="auto"/>
          <w:kern w:val="2"/>
          <w:sz w:val="28"/>
          <w:szCs w:val="28"/>
          <w:highlight w:val="none"/>
        </w:rPr>
        <w:t>3.</w:t>
      </w:r>
      <w:r>
        <w:rPr>
          <w:rFonts w:hint="eastAsia" w:hAnsi="宋体"/>
          <w:b/>
          <w:bCs/>
          <w:color w:val="auto"/>
          <w:kern w:val="2"/>
          <w:sz w:val="28"/>
          <w:szCs w:val="28"/>
          <w:highlight w:val="none"/>
        </w:rPr>
        <w:t>6残疾人福利性单位声明函</w:t>
      </w:r>
      <w:bookmarkEnd w:id="71"/>
      <w:bookmarkEnd w:id="72"/>
    </w:p>
    <w:p>
      <w:pPr>
        <w:rPr>
          <w:rFonts w:ascii="宋体"/>
          <w:b/>
          <w:bCs/>
          <w:color w:val="auto"/>
          <w:kern w:val="2"/>
          <w:sz w:val="28"/>
          <w:szCs w:val="28"/>
          <w:highlight w:val="none"/>
        </w:rPr>
      </w:pPr>
    </w:p>
    <w:p>
      <w:pPr>
        <w:rPr>
          <w:rFonts w:ascii="宋体"/>
          <w:b/>
          <w:bCs/>
          <w:color w:val="auto"/>
          <w:kern w:val="2"/>
          <w:sz w:val="28"/>
          <w:szCs w:val="28"/>
          <w:highlight w:val="none"/>
        </w:rPr>
      </w:pPr>
    </w:p>
    <w:p>
      <w:pPr>
        <w:spacing w:line="588" w:lineRule="exact"/>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本单位郑重声明，根据《财政部民政部中国残疾人联合会关于促进残疾人就业政府采购政策的通知》（财库</w:t>
      </w:r>
      <w:r>
        <w:rPr>
          <w:rFonts w:hint="eastAsia" w:ascii="宋体" w:hAnsi="宋体" w:cs="宋体"/>
          <w:color w:val="auto"/>
          <w:szCs w:val="21"/>
          <w:highlight w:val="none"/>
        </w:rPr>
        <w:t>〔</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 xml:space="preserve"> 141</w:t>
      </w:r>
      <w:r>
        <w:rPr>
          <w:rFonts w:hint="eastAsia" w:ascii="宋体" w:hAnsi="宋体" w:cs="宋体"/>
          <w:color w:val="auto"/>
          <w:spacing w:val="6"/>
          <w:szCs w:val="21"/>
          <w:highlight w:val="none"/>
        </w:rPr>
        <w:t>号）的规定，本单位为符合条件的残疾人福利性单位，且本单位参加</w:t>
      </w:r>
      <w:r>
        <w:rPr>
          <w:rFonts w:ascii="宋体" w:hAnsi="宋体" w:cs="宋体"/>
          <w:color w:val="auto"/>
          <w:spacing w:val="6"/>
          <w:szCs w:val="21"/>
          <w:highlight w:val="none"/>
        </w:rPr>
        <w:t>______</w:t>
      </w:r>
      <w:r>
        <w:rPr>
          <w:rFonts w:hint="eastAsia" w:ascii="宋体" w:hAnsi="宋体" w:cs="宋体"/>
          <w:color w:val="auto"/>
          <w:spacing w:val="6"/>
          <w:szCs w:val="21"/>
          <w:highlight w:val="none"/>
        </w:rPr>
        <w:t>单位的</w:t>
      </w:r>
      <w:r>
        <w:rPr>
          <w:rFonts w:ascii="宋体" w:hAnsi="宋体" w:cs="宋体"/>
          <w:color w:val="auto"/>
          <w:spacing w:val="6"/>
          <w:szCs w:val="21"/>
          <w:highlight w:val="none"/>
        </w:rPr>
        <w:t>______</w:t>
      </w:r>
      <w:r>
        <w:rPr>
          <w:rFonts w:hint="eastAsia" w:ascii="宋体" w:hAnsi="宋体" w:cs="宋体"/>
          <w:color w:val="auto"/>
          <w:spacing w:val="6"/>
          <w:szCs w:val="21"/>
          <w:highlight w:val="none"/>
        </w:rPr>
        <w:t>项目采购活动提供本单位制造的货物（由本单位承担工程</w:t>
      </w:r>
      <w:r>
        <w:rPr>
          <w:rFonts w:ascii="宋体" w:hAnsi="宋体" w:cs="宋体"/>
          <w:color w:val="auto"/>
          <w:spacing w:val="6"/>
          <w:szCs w:val="21"/>
          <w:highlight w:val="none"/>
        </w:rPr>
        <w:t>/</w:t>
      </w:r>
      <w:r>
        <w:rPr>
          <w:rFonts w:hint="eastAsia" w:ascii="宋体" w:hAnsi="宋体" w:cs="宋体"/>
          <w:color w:val="auto"/>
          <w:spacing w:val="6"/>
          <w:szCs w:val="21"/>
          <w:highlight w:val="none"/>
        </w:rPr>
        <w:t>提供服务），或者提供其他残疾人福利性单位制造的货物（不包括使用非残疾人福利性单位注册商标的货物）。</w:t>
      </w:r>
    </w:p>
    <w:p>
      <w:pPr>
        <w:spacing w:line="588" w:lineRule="exact"/>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pPr>
        <w:spacing w:line="588" w:lineRule="exact"/>
        <w:rPr>
          <w:rFonts w:ascii="宋体" w:cs="宋体"/>
          <w:color w:val="auto"/>
          <w:spacing w:val="6"/>
          <w:szCs w:val="21"/>
          <w:highlight w:val="none"/>
        </w:rPr>
      </w:pPr>
    </w:p>
    <w:p>
      <w:pPr>
        <w:tabs>
          <w:tab w:val="left" w:pos="4860"/>
        </w:tabs>
        <w:spacing w:line="588" w:lineRule="exact"/>
        <w:ind w:right="1560" w:firstLine="444" w:firstLineChars="200"/>
        <w:jc w:val="center"/>
        <w:rPr>
          <w:rFonts w:ascii="宋体" w:cs="宋体"/>
          <w:color w:val="auto"/>
          <w:spacing w:val="6"/>
          <w:szCs w:val="21"/>
          <w:highlight w:val="none"/>
        </w:rPr>
      </w:pPr>
      <w:r>
        <w:rPr>
          <w:rFonts w:hint="eastAsia" w:ascii="宋体" w:hAnsi="宋体" w:cs="宋体"/>
          <w:color w:val="auto"/>
          <w:spacing w:val="6"/>
          <w:szCs w:val="21"/>
          <w:highlight w:val="none"/>
        </w:rPr>
        <w:t>单位名称（盖章）：</w:t>
      </w:r>
    </w:p>
    <w:p>
      <w:pPr>
        <w:tabs>
          <w:tab w:val="left" w:pos="4860"/>
        </w:tabs>
        <w:spacing w:line="588" w:lineRule="exact"/>
        <w:ind w:right="1560" w:firstLine="444" w:firstLineChars="200"/>
        <w:jc w:val="center"/>
        <w:rPr>
          <w:rFonts w:ascii="宋体" w:cs="宋体"/>
          <w:color w:val="auto"/>
          <w:spacing w:val="6"/>
          <w:szCs w:val="21"/>
          <w:highlight w:val="none"/>
        </w:rPr>
      </w:pPr>
      <w:r>
        <w:rPr>
          <w:rFonts w:hint="eastAsia" w:ascii="宋体" w:hAnsi="宋体" w:cs="宋体"/>
          <w:color w:val="auto"/>
          <w:spacing w:val="6"/>
          <w:szCs w:val="21"/>
          <w:highlight w:val="none"/>
        </w:rPr>
        <w:t>日期：</w:t>
      </w:r>
    </w:p>
    <w:p>
      <w:pPr>
        <w:tabs>
          <w:tab w:val="left" w:pos="4860"/>
        </w:tabs>
        <w:spacing w:line="588" w:lineRule="exact"/>
        <w:ind w:right="1560" w:firstLine="444" w:firstLineChars="200"/>
        <w:jc w:val="center"/>
        <w:rPr>
          <w:rFonts w:ascii="宋体" w:cs="宋体"/>
          <w:color w:val="auto"/>
          <w:spacing w:val="6"/>
          <w:szCs w:val="21"/>
          <w:highlight w:val="none"/>
        </w:rPr>
      </w:pPr>
    </w:p>
    <w:p>
      <w:pPr>
        <w:wordWrap w:val="0"/>
        <w:spacing w:line="500" w:lineRule="exact"/>
        <w:ind w:left="735" w:leftChars="200" w:hanging="315" w:hangingChars="150"/>
        <w:jc w:val="center"/>
        <w:rPr>
          <w:rFonts w:ascii="宋体"/>
          <w:color w:val="auto"/>
          <w:szCs w:val="21"/>
          <w:highlight w:val="none"/>
        </w:rPr>
      </w:pPr>
      <w:r>
        <w:rPr>
          <w:rFonts w:hint="eastAsia" w:ascii="宋体" w:hAnsi="宋体"/>
          <w:color w:val="auto"/>
          <w:szCs w:val="21"/>
          <w:highlight w:val="none"/>
        </w:rPr>
        <w:t>提</w:t>
      </w:r>
      <w:r>
        <w:rPr>
          <w:rFonts w:hint="eastAsia"/>
          <w:color w:val="auto"/>
          <w:szCs w:val="21"/>
          <w:highlight w:val="none"/>
        </w:rPr>
        <w:t>供残疾人福利性单位</w:t>
      </w:r>
      <w:r>
        <w:rPr>
          <w:rFonts w:hint="eastAsia" w:ascii="宋体" w:hAnsi="宋体"/>
          <w:color w:val="auto"/>
          <w:szCs w:val="21"/>
          <w:highlight w:val="none"/>
        </w:rPr>
        <w:t>制造的货物（由本单位承担工程</w:t>
      </w:r>
      <w:r>
        <w:rPr>
          <w:rFonts w:ascii="宋体" w:hAnsi="宋体"/>
          <w:color w:val="auto"/>
          <w:szCs w:val="21"/>
          <w:highlight w:val="none"/>
        </w:rPr>
        <w:t>/</w:t>
      </w:r>
      <w:r>
        <w:rPr>
          <w:rFonts w:hint="eastAsia" w:ascii="宋体" w:hAnsi="宋体"/>
          <w:color w:val="auto"/>
          <w:szCs w:val="21"/>
          <w:highlight w:val="none"/>
        </w:rPr>
        <w:t>提供服务）一览</w:t>
      </w:r>
      <w:r>
        <w:rPr>
          <w:rFonts w:hint="eastAsia"/>
          <w:color w:val="auto"/>
          <w:szCs w:val="21"/>
          <w:highlight w:val="none"/>
        </w:rPr>
        <w:t>表</w:t>
      </w:r>
    </w:p>
    <w:tbl>
      <w:tblPr>
        <w:tblStyle w:val="55"/>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80"/>
        <w:gridCol w:w="1369"/>
        <w:gridCol w:w="1370"/>
        <w:gridCol w:w="1369"/>
        <w:gridCol w:w="137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648"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序号</w:t>
            </w:r>
          </w:p>
        </w:tc>
        <w:tc>
          <w:tcPr>
            <w:tcW w:w="1980"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名称</w:t>
            </w:r>
          </w:p>
        </w:tc>
        <w:tc>
          <w:tcPr>
            <w:tcW w:w="1369"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制造商（货物须提供）</w:t>
            </w:r>
          </w:p>
        </w:tc>
        <w:tc>
          <w:tcPr>
            <w:tcW w:w="1370"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sz w:val="21"/>
                <w:szCs w:val="21"/>
                <w:highlight w:val="none"/>
              </w:rPr>
              <w:t>残疾人福利性单位</w:t>
            </w:r>
          </w:p>
        </w:tc>
        <w:tc>
          <w:tcPr>
            <w:tcW w:w="1369"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数量</w:t>
            </w:r>
          </w:p>
        </w:tc>
        <w:tc>
          <w:tcPr>
            <w:tcW w:w="1370"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单价</w:t>
            </w:r>
          </w:p>
        </w:tc>
        <w:tc>
          <w:tcPr>
            <w:tcW w:w="1370" w:type="dxa"/>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648" w:type="dxa"/>
          </w:tcPr>
          <w:p>
            <w:pPr>
              <w:pStyle w:val="27"/>
              <w:wordWrap w:val="0"/>
              <w:spacing w:line="480" w:lineRule="exact"/>
              <w:jc w:val="left"/>
              <w:rPr>
                <w:rFonts w:ascii="Times New Roman" w:hAnsi="Times New Roman"/>
                <w:color w:val="auto"/>
                <w:kern w:val="2"/>
                <w:sz w:val="21"/>
                <w:szCs w:val="21"/>
                <w:highlight w:val="none"/>
              </w:rPr>
            </w:pPr>
          </w:p>
        </w:tc>
        <w:tc>
          <w:tcPr>
            <w:tcW w:w="198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648" w:type="dxa"/>
          </w:tcPr>
          <w:p>
            <w:pPr>
              <w:pStyle w:val="27"/>
              <w:wordWrap w:val="0"/>
              <w:spacing w:line="480" w:lineRule="exact"/>
              <w:jc w:val="left"/>
              <w:rPr>
                <w:rFonts w:ascii="Times New Roman" w:hAnsi="Times New Roman"/>
                <w:color w:val="auto"/>
                <w:kern w:val="2"/>
                <w:sz w:val="21"/>
                <w:szCs w:val="21"/>
                <w:highlight w:val="none"/>
              </w:rPr>
            </w:pPr>
          </w:p>
        </w:tc>
        <w:tc>
          <w:tcPr>
            <w:tcW w:w="198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648" w:type="dxa"/>
          </w:tcPr>
          <w:p>
            <w:pPr>
              <w:pStyle w:val="27"/>
              <w:wordWrap w:val="0"/>
              <w:spacing w:line="480" w:lineRule="exact"/>
              <w:jc w:val="left"/>
              <w:rPr>
                <w:rFonts w:ascii="Times New Roman" w:hAnsi="Times New Roman"/>
                <w:color w:val="auto"/>
                <w:kern w:val="2"/>
                <w:sz w:val="21"/>
                <w:szCs w:val="21"/>
                <w:highlight w:val="none"/>
              </w:rPr>
            </w:pPr>
          </w:p>
        </w:tc>
        <w:tc>
          <w:tcPr>
            <w:tcW w:w="198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648" w:type="dxa"/>
          </w:tcPr>
          <w:p>
            <w:pPr>
              <w:pStyle w:val="27"/>
              <w:wordWrap w:val="0"/>
              <w:spacing w:line="480" w:lineRule="exact"/>
              <w:jc w:val="left"/>
              <w:rPr>
                <w:rFonts w:ascii="Times New Roman" w:hAnsi="Times New Roman"/>
                <w:color w:val="auto"/>
                <w:kern w:val="2"/>
                <w:sz w:val="21"/>
                <w:szCs w:val="21"/>
                <w:highlight w:val="none"/>
              </w:rPr>
            </w:pPr>
          </w:p>
        </w:tc>
        <w:tc>
          <w:tcPr>
            <w:tcW w:w="198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648" w:type="dxa"/>
          </w:tcPr>
          <w:p>
            <w:pPr>
              <w:pStyle w:val="27"/>
              <w:wordWrap w:val="0"/>
              <w:spacing w:line="480" w:lineRule="exact"/>
              <w:jc w:val="left"/>
              <w:rPr>
                <w:rFonts w:ascii="Times New Roman" w:hAnsi="Times New Roman"/>
                <w:color w:val="auto"/>
                <w:kern w:val="2"/>
                <w:sz w:val="21"/>
                <w:szCs w:val="21"/>
                <w:highlight w:val="none"/>
              </w:rPr>
            </w:pPr>
          </w:p>
        </w:tc>
        <w:tc>
          <w:tcPr>
            <w:tcW w:w="198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69"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c>
          <w:tcPr>
            <w:tcW w:w="1370" w:type="dxa"/>
          </w:tcPr>
          <w:p>
            <w:pPr>
              <w:pStyle w:val="27"/>
              <w:wordWrap w:val="0"/>
              <w:spacing w:line="480" w:lineRule="exact"/>
              <w:jc w:val="left"/>
              <w:rPr>
                <w:rFonts w:ascii="Times New Roman" w:hAnsi="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2628" w:type="dxa"/>
            <w:gridSpan w:val="2"/>
          </w:tcPr>
          <w:p>
            <w:pPr>
              <w:pStyle w:val="27"/>
              <w:wordWrap w:val="0"/>
              <w:spacing w:line="480" w:lineRule="exact"/>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合计</w:t>
            </w:r>
          </w:p>
        </w:tc>
        <w:tc>
          <w:tcPr>
            <w:tcW w:w="6848" w:type="dxa"/>
            <w:gridSpan w:val="5"/>
          </w:tcPr>
          <w:p>
            <w:pPr>
              <w:pStyle w:val="27"/>
              <w:wordWrap w:val="0"/>
              <w:spacing w:line="480" w:lineRule="exact"/>
              <w:jc w:val="left"/>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元</w:t>
            </w:r>
          </w:p>
        </w:tc>
      </w:tr>
    </w:tbl>
    <w:p>
      <w:pPr>
        <w:rPr>
          <w:rFonts w:ascii="宋体"/>
          <w:color w:val="auto"/>
          <w:szCs w:val="21"/>
          <w:highlight w:val="none"/>
        </w:rPr>
      </w:pPr>
      <w:r>
        <w:rPr>
          <w:rFonts w:hint="eastAsia" w:ascii="宋体" w:hAnsi="宋体"/>
          <w:color w:val="auto"/>
          <w:szCs w:val="21"/>
          <w:highlight w:val="none"/>
        </w:rPr>
        <w:t>注：供应商自行填写上表，以便进行价格评审。</w:t>
      </w:r>
    </w:p>
    <w:p>
      <w:pPr>
        <w:pStyle w:val="6"/>
        <w:keepNext/>
        <w:keepLines/>
        <w:wordWrap w:val="0"/>
        <w:rPr>
          <w:color w:val="auto"/>
          <w:szCs w:val="21"/>
          <w:highlight w:val="none"/>
        </w:rPr>
        <w:sectPr>
          <w:footerReference r:id="rId8" w:type="even"/>
          <w:pgSz w:w="11905" w:h="16838"/>
          <w:pgMar w:top="1134" w:right="1134" w:bottom="1134" w:left="1134" w:header="794" w:footer="794" w:gutter="0"/>
          <w:cols w:space="0" w:num="1"/>
          <w:rtlGutter w:val="0"/>
          <w:docGrid w:linePitch="312" w:charSpace="0"/>
        </w:sectPr>
      </w:pPr>
      <w:r>
        <w:rPr>
          <w:color w:val="auto"/>
          <w:szCs w:val="21"/>
          <w:highlight w:val="none"/>
        </w:rPr>
        <w:br w:type="page"/>
      </w:r>
    </w:p>
    <w:p>
      <w:pPr>
        <w:pStyle w:val="4"/>
        <w:spacing w:before="120" w:after="120" w:line="360" w:lineRule="auto"/>
        <w:jc w:val="left"/>
        <w:rPr>
          <w:rFonts w:hAnsi="宋体" w:cs="宋体"/>
          <w:color w:val="auto"/>
          <w:szCs w:val="24"/>
          <w:highlight w:val="none"/>
        </w:rPr>
      </w:pPr>
      <w:r>
        <w:rPr>
          <w:rFonts w:hint="eastAsia" w:hAnsi="宋体" w:cs="宋体"/>
          <w:color w:val="auto"/>
          <w:szCs w:val="24"/>
          <w:highlight w:val="none"/>
        </w:rPr>
        <w:t>四、商务部分</w:t>
      </w:r>
      <w:bookmarkEnd w:id="60"/>
      <w:bookmarkEnd w:id="61"/>
      <w:bookmarkEnd w:id="62"/>
      <w:bookmarkEnd w:id="63"/>
      <w:bookmarkEnd w:id="64"/>
      <w:bookmarkEnd w:id="65"/>
      <w:bookmarkEnd w:id="66"/>
      <w:bookmarkEnd w:id="67"/>
      <w:bookmarkEnd w:id="68"/>
      <w:bookmarkEnd w:id="69"/>
      <w:bookmarkEnd w:id="70"/>
    </w:p>
    <w:p>
      <w:pPr>
        <w:pStyle w:val="7"/>
        <w:keepNext/>
        <w:keepLines/>
        <w:tabs>
          <w:tab w:val="left" w:pos="420"/>
        </w:tabs>
        <w:autoSpaceDE/>
        <w:adjustRightInd/>
        <w:snapToGrid/>
        <w:ind w:left="0" w:firstLine="0"/>
        <w:jc w:val="center"/>
        <w:rPr>
          <w:rFonts w:hAnsi="宋体" w:cs="宋体"/>
          <w:b/>
          <w:color w:val="auto"/>
          <w:szCs w:val="21"/>
          <w:highlight w:val="none"/>
        </w:rPr>
      </w:pPr>
      <w:r>
        <w:rPr>
          <w:rFonts w:hAnsi="宋体" w:cs="宋体"/>
          <w:b/>
          <w:color w:val="auto"/>
          <w:szCs w:val="21"/>
          <w:highlight w:val="none"/>
        </w:rPr>
        <w:t xml:space="preserve">4.1 </w:t>
      </w:r>
      <w:r>
        <w:rPr>
          <w:rFonts w:hint="eastAsia" w:hAnsi="宋体" w:cs="宋体"/>
          <w:b/>
          <w:color w:val="auto"/>
          <w:szCs w:val="21"/>
          <w:highlight w:val="none"/>
        </w:rPr>
        <w:t>投标人综合概况</w:t>
      </w:r>
    </w:p>
    <w:p>
      <w:pPr>
        <w:tabs>
          <w:tab w:val="left" w:pos="180"/>
        </w:tabs>
        <w:spacing w:line="360" w:lineRule="auto"/>
        <w:rPr>
          <w:rFonts w:ascii="宋体" w:cs="宋体"/>
          <w:b/>
          <w:color w:val="auto"/>
          <w:szCs w:val="21"/>
          <w:highlight w:val="none"/>
        </w:rPr>
      </w:pPr>
      <w:r>
        <w:rPr>
          <w:rFonts w:hint="eastAsia" w:ascii="宋体" w:hAnsi="宋体" w:cs="宋体"/>
          <w:b/>
          <w:color w:val="auto"/>
          <w:szCs w:val="21"/>
          <w:highlight w:val="none"/>
        </w:rPr>
        <w:t>（一）投标人基本情况表</w:t>
      </w:r>
    </w:p>
    <w:tbl>
      <w:tblPr>
        <w:tblStyle w:val="55"/>
        <w:tblW w:w="92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570"/>
        <w:gridCol w:w="1195"/>
        <w:gridCol w:w="143"/>
        <w:gridCol w:w="1002"/>
        <w:gridCol w:w="416"/>
        <w:gridCol w:w="1014"/>
        <w:gridCol w:w="120"/>
        <w:gridCol w:w="567"/>
        <w:gridCol w:w="709"/>
        <w:gridCol w:w="487"/>
        <w:gridCol w:w="401"/>
        <w:gridCol w:w="387"/>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jc w:val="center"/>
        </w:trPr>
        <w:tc>
          <w:tcPr>
            <w:tcW w:w="1570" w:type="dxa"/>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单位名称</w:t>
            </w:r>
          </w:p>
        </w:tc>
        <w:tc>
          <w:tcPr>
            <w:tcW w:w="7646" w:type="dxa"/>
            <w:gridSpan w:val="1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jc w:val="center"/>
        </w:trPr>
        <w:tc>
          <w:tcPr>
            <w:tcW w:w="1570" w:type="dxa"/>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地址</w:t>
            </w:r>
          </w:p>
        </w:tc>
        <w:tc>
          <w:tcPr>
            <w:tcW w:w="7646" w:type="dxa"/>
            <w:gridSpan w:val="1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jc w:val="center"/>
        </w:trPr>
        <w:tc>
          <w:tcPr>
            <w:tcW w:w="1570" w:type="dxa"/>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邮编</w:t>
            </w:r>
          </w:p>
        </w:tc>
        <w:tc>
          <w:tcPr>
            <w:tcW w:w="1338"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c>
          <w:tcPr>
            <w:tcW w:w="1418"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电话</w:t>
            </w:r>
          </w:p>
        </w:tc>
        <w:tc>
          <w:tcPr>
            <w:tcW w:w="1701" w:type="dxa"/>
            <w:gridSpan w:val="3"/>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c>
          <w:tcPr>
            <w:tcW w:w="1597" w:type="dxa"/>
            <w:gridSpan w:val="3"/>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传真</w:t>
            </w:r>
          </w:p>
        </w:tc>
        <w:tc>
          <w:tcPr>
            <w:tcW w:w="1592"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jc w:val="center"/>
        </w:trPr>
        <w:tc>
          <w:tcPr>
            <w:tcW w:w="1570" w:type="dxa"/>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经济类型</w:t>
            </w:r>
          </w:p>
        </w:tc>
        <w:tc>
          <w:tcPr>
            <w:tcW w:w="1338"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c>
          <w:tcPr>
            <w:tcW w:w="1418"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行政主管部门</w:t>
            </w:r>
          </w:p>
        </w:tc>
        <w:tc>
          <w:tcPr>
            <w:tcW w:w="1701" w:type="dxa"/>
            <w:gridSpan w:val="3"/>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c>
          <w:tcPr>
            <w:tcW w:w="1597" w:type="dxa"/>
            <w:gridSpan w:val="3"/>
            <w:vAlign w:val="center"/>
          </w:tcPr>
          <w:p>
            <w:pPr>
              <w:tabs>
                <w:tab w:val="left" w:pos="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资质等级</w:t>
            </w:r>
            <w:r>
              <w:rPr>
                <w:rFonts w:ascii="宋体" w:hAnsi="宋体" w:cs="宋体"/>
                <w:color w:val="auto"/>
                <w:szCs w:val="21"/>
                <w:highlight w:val="none"/>
              </w:rPr>
              <w:t>/</w:t>
            </w:r>
            <w:r>
              <w:rPr>
                <w:rFonts w:hint="eastAsia" w:ascii="宋体" w:hAnsi="宋体" w:cs="宋体"/>
                <w:color w:val="auto"/>
                <w:szCs w:val="21"/>
                <w:highlight w:val="none"/>
              </w:rPr>
              <w:t>编号</w:t>
            </w:r>
          </w:p>
        </w:tc>
        <w:tc>
          <w:tcPr>
            <w:tcW w:w="1592"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jc w:val="center"/>
        </w:trPr>
        <w:tc>
          <w:tcPr>
            <w:tcW w:w="1570" w:type="dxa"/>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法人代表</w:t>
            </w:r>
          </w:p>
        </w:tc>
        <w:tc>
          <w:tcPr>
            <w:tcW w:w="1338"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c>
          <w:tcPr>
            <w:tcW w:w="1418"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职务</w:t>
            </w:r>
            <w:r>
              <w:rPr>
                <w:rFonts w:ascii="宋体" w:hAnsi="宋体" w:cs="宋体"/>
                <w:color w:val="auto"/>
                <w:szCs w:val="21"/>
                <w:highlight w:val="none"/>
              </w:rPr>
              <w:t>/</w:t>
            </w:r>
            <w:r>
              <w:rPr>
                <w:rFonts w:hint="eastAsia" w:ascii="宋体" w:hAnsi="宋体" w:cs="宋体"/>
                <w:color w:val="auto"/>
                <w:szCs w:val="21"/>
                <w:highlight w:val="none"/>
              </w:rPr>
              <w:t>职称</w:t>
            </w:r>
          </w:p>
        </w:tc>
        <w:tc>
          <w:tcPr>
            <w:tcW w:w="1701" w:type="dxa"/>
            <w:gridSpan w:val="3"/>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c>
          <w:tcPr>
            <w:tcW w:w="1597" w:type="dxa"/>
            <w:gridSpan w:val="3"/>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联系方式</w:t>
            </w:r>
          </w:p>
        </w:tc>
        <w:tc>
          <w:tcPr>
            <w:tcW w:w="1592"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jc w:val="center"/>
        </w:trPr>
        <w:tc>
          <w:tcPr>
            <w:tcW w:w="1570" w:type="dxa"/>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技术负责人</w:t>
            </w:r>
          </w:p>
        </w:tc>
        <w:tc>
          <w:tcPr>
            <w:tcW w:w="1338"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c>
          <w:tcPr>
            <w:tcW w:w="1418"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职务</w:t>
            </w:r>
            <w:r>
              <w:rPr>
                <w:rFonts w:ascii="宋体" w:hAnsi="宋体" w:cs="宋体"/>
                <w:color w:val="auto"/>
                <w:szCs w:val="21"/>
                <w:highlight w:val="none"/>
              </w:rPr>
              <w:t>/</w:t>
            </w:r>
            <w:r>
              <w:rPr>
                <w:rFonts w:hint="eastAsia" w:ascii="宋体" w:hAnsi="宋体" w:cs="宋体"/>
                <w:color w:val="auto"/>
                <w:szCs w:val="21"/>
                <w:highlight w:val="none"/>
              </w:rPr>
              <w:t>职称</w:t>
            </w:r>
          </w:p>
        </w:tc>
        <w:tc>
          <w:tcPr>
            <w:tcW w:w="1701" w:type="dxa"/>
            <w:gridSpan w:val="3"/>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c>
          <w:tcPr>
            <w:tcW w:w="1597" w:type="dxa"/>
            <w:gridSpan w:val="3"/>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联系方式</w:t>
            </w:r>
          </w:p>
        </w:tc>
        <w:tc>
          <w:tcPr>
            <w:tcW w:w="1592"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jc w:val="center"/>
        </w:trPr>
        <w:tc>
          <w:tcPr>
            <w:tcW w:w="1570" w:type="dxa"/>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授权代表</w:t>
            </w:r>
          </w:p>
        </w:tc>
        <w:tc>
          <w:tcPr>
            <w:tcW w:w="1338"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c>
          <w:tcPr>
            <w:tcW w:w="1418"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职务</w:t>
            </w:r>
            <w:r>
              <w:rPr>
                <w:rFonts w:ascii="宋体" w:hAnsi="宋体" w:cs="宋体"/>
                <w:color w:val="auto"/>
                <w:szCs w:val="21"/>
                <w:highlight w:val="none"/>
              </w:rPr>
              <w:t>/</w:t>
            </w:r>
            <w:r>
              <w:rPr>
                <w:rFonts w:hint="eastAsia" w:ascii="宋体" w:hAnsi="宋体" w:cs="宋体"/>
                <w:color w:val="auto"/>
                <w:szCs w:val="21"/>
                <w:highlight w:val="none"/>
              </w:rPr>
              <w:t>职称</w:t>
            </w:r>
          </w:p>
        </w:tc>
        <w:tc>
          <w:tcPr>
            <w:tcW w:w="1701" w:type="dxa"/>
            <w:gridSpan w:val="3"/>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c>
          <w:tcPr>
            <w:tcW w:w="1597" w:type="dxa"/>
            <w:gridSpan w:val="3"/>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联系方式</w:t>
            </w:r>
          </w:p>
        </w:tc>
        <w:tc>
          <w:tcPr>
            <w:tcW w:w="1592"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690" w:hRule="atLeast"/>
          <w:jc w:val="center"/>
        </w:trPr>
        <w:tc>
          <w:tcPr>
            <w:tcW w:w="1570" w:type="dxa"/>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单位简介</w:t>
            </w:r>
          </w:p>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及机构设置</w:t>
            </w:r>
          </w:p>
        </w:tc>
        <w:tc>
          <w:tcPr>
            <w:tcW w:w="7646" w:type="dxa"/>
            <w:gridSpan w:val="1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45" w:hRule="atLeast"/>
          <w:jc w:val="center"/>
        </w:trPr>
        <w:tc>
          <w:tcPr>
            <w:tcW w:w="1570" w:type="dxa"/>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单位优势</w:t>
            </w:r>
          </w:p>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及特长</w:t>
            </w:r>
          </w:p>
        </w:tc>
        <w:tc>
          <w:tcPr>
            <w:tcW w:w="7646" w:type="dxa"/>
            <w:gridSpan w:val="1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49" w:hRule="atLeast"/>
          <w:jc w:val="center"/>
        </w:trPr>
        <w:tc>
          <w:tcPr>
            <w:tcW w:w="1570" w:type="dxa"/>
            <w:vMerge w:val="restart"/>
            <w:vAlign w:val="center"/>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单位概况</w:t>
            </w:r>
          </w:p>
        </w:tc>
        <w:tc>
          <w:tcPr>
            <w:tcW w:w="1195" w:type="dxa"/>
            <w:vAlign w:val="center"/>
          </w:tcPr>
          <w:p>
            <w:pPr>
              <w:tabs>
                <w:tab w:val="left" w:pos="540"/>
              </w:tabs>
              <w:snapToGrid w:val="0"/>
              <w:spacing w:line="360" w:lineRule="auto"/>
              <w:jc w:val="center"/>
              <w:textAlignment w:val="center"/>
              <w:rPr>
                <w:rFonts w:ascii="宋体" w:cs="宋体"/>
                <w:color w:val="auto"/>
                <w:szCs w:val="21"/>
                <w:highlight w:val="none"/>
              </w:rPr>
            </w:pPr>
            <w:r>
              <w:rPr>
                <w:rFonts w:hint="eastAsia" w:ascii="宋体" w:hAnsi="宋体" w:cs="宋体"/>
                <w:color w:val="auto"/>
                <w:szCs w:val="21"/>
                <w:highlight w:val="none"/>
              </w:rPr>
              <w:t>成立日期</w:t>
            </w:r>
          </w:p>
        </w:tc>
        <w:tc>
          <w:tcPr>
            <w:tcW w:w="2575" w:type="dxa"/>
            <w:gridSpan w:val="4"/>
            <w:vAlign w:val="center"/>
          </w:tcPr>
          <w:p>
            <w:pPr>
              <w:tabs>
                <w:tab w:val="left" w:pos="540"/>
              </w:tabs>
              <w:snapToGrid w:val="0"/>
              <w:spacing w:line="360" w:lineRule="auto"/>
              <w:jc w:val="right"/>
              <w:textAlignment w:val="center"/>
              <w:rPr>
                <w:rFonts w:ascii="宋体" w:cs="宋体"/>
                <w:color w:val="auto"/>
                <w:szCs w:val="21"/>
                <w:highlight w:val="none"/>
              </w:rPr>
            </w:pPr>
            <w:r>
              <w:rPr>
                <w:rFonts w:hint="eastAsia" w:ascii="宋体" w:hAnsi="宋体" w:cs="宋体"/>
                <w:color w:val="auto"/>
                <w:szCs w:val="21"/>
                <w:highlight w:val="none"/>
              </w:rPr>
              <w:t>年月日</w:t>
            </w:r>
          </w:p>
        </w:tc>
        <w:tc>
          <w:tcPr>
            <w:tcW w:w="1396" w:type="dxa"/>
            <w:gridSpan w:val="3"/>
            <w:vAlign w:val="center"/>
          </w:tcPr>
          <w:p>
            <w:pPr>
              <w:tabs>
                <w:tab w:val="left" w:pos="540"/>
              </w:tabs>
              <w:snapToGrid w:val="0"/>
              <w:spacing w:line="360" w:lineRule="auto"/>
              <w:jc w:val="center"/>
              <w:textAlignment w:val="center"/>
              <w:rPr>
                <w:rFonts w:ascii="宋体" w:cs="宋体"/>
                <w:color w:val="auto"/>
                <w:szCs w:val="21"/>
                <w:highlight w:val="none"/>
              </w:rPr>
            </w:pPr>
            <w:r>
              <w:rPr>
                <w:rFonts w:hint="eastAsia" w:ascii="宋体" w:hAnsi="宋体" w:cs="宋体"/>
                <w:color w:val="auto"/>
                <w:szCs w:val="21"/>
                <w:highlight w:val="none"/>
              </w:rPr>
              <w:t>注册资本</w:t>
            </w:r>
          </w:p>
        </w:tc>
        <w:tc>
          <w:tcPr>
            <w:tcW w:w="2480" w:type="dxa"/>
            <w:gridSpan w:val="4"/>
            <w:vAlign w:val="center"/>
          </w:tcPr>
          <w:p>
            <w:pPr>
              <w:tabs>
                <w:tab w:val="left" w:pos="540"/>
              </w:tabs>
              <w:snapToGrid w:val="0"/>
              <w:spacing w:line="360" w:lineRule="auto"/>
              <w:jc w:val="right"/>
              <w:textAlignment w:val="center"/>
              <w:rPr>
                <w:rFonts w:ascii="宋体" w:cs="宋体"/>
                <w:color w:val="auto"/>
                <w:szCs w:val="21"/>
                <w:highlight w:val="none"/>
              </w:rPr>
            </w:pPr>
            <w:r>
              <w:rPr>
                <w:rFonts w:hint="eastAsia" w:ascii="宋体" w:hAnsi="宋体" w:cs="宋体"/>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21" w:hRule="atLeast"/>
          <w:jc w:val="center"/>
        </w:trPr>
        <w:tc>
          <w:tcPr>
            <w:tcW w:w="1570" w:type="dxa"/>
            <w:vMerge w:val="continue"/>
            <w:vAlign w:val="center"/>
          </w:tcPr>
          <w:p>
            <w:pPr>
              <w:rPr>
                <w:rFonts w:ascii="宋体" w:cs="宋体"/>
                <w:color w:val="auto"/>
                <w:szCs w:val="21"/>
                <w:highlight w:val="none"/>
              </w:rPr>
            </w:pPr>
          </w:p>
        </w:tc>
        <w:tc>
          <w:tcPr>
            <w:tcW w:w="1195" w:type="dxa"/>
            <w:vAlign w:val="center"/>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办公面积</w:t>
            </w:r>
          </w:p>
        </w:tc>
        <w:tc>
          <w:tcPr>
            <w:tcW w:w="6451" w:type="dxa"/>
            <w:gridSpan w:val="11"/>
            <w:vAlign w:val="center"/>
          </w:tcPr>
          <w:p>
            <w:pPr>
              <w:tabs>
                <w:tab w:val="left" w:pos="540"/>
              </w:tabs>
              <w:snapToGrid w:val="0"/>
              <w:spacing w:after="120" w:afterLines="50" w:line="360" w:lineRule="auto"/>
              <w:ind w:right="-105" w:rightChars="-50"/>
              <w:textAlignment w:val="center"/>
              <w:rPr>
                <w:rFonts w:ascii="宋体" w:cs="宋体"/>
                <w:color w:val="auto"/>
                <w:szCs w:val="21"/>
                <w:highlight w:val="none"/>
              </w:rPr>
            </w:pPr>
            <w:r>
              <w:rPr>
                <w:rFonts w:hint="eastAsia" w:ascii="宋体" w:hAnsi="宋体" w:cs="宋体"/>
                <w:color w:val="auto"/>
                <w:szCs w:val="21"/>
                <w:highlight w:val="none"/>
              </w:rPr>
              <w:t>自有面积平方米，承租面积平方米，</w:t>
            </w:r>
          </w:p>
          <w:p>
            <w:pPr>
              <w:tabs>
                <w:tab w:val="left" w:pos="540"/>
              </w:tabs>
              <w:snapToGrid w:val="0"/>
              <w:spacing w:line="360" w:lineRule="auto"/>
              <w:ind w:right="-105" w:rightChars="-50"/>
              <w:textAlignment w:val="center"/>
              <w:rPr>
                <w:rFonts w:ascii="宋体" w:cs="宋体"/>
                <w:color w:val="auto"/>
                <w:szCs w:val="21"/>
                <w:highlight w:val="none"/>
              </w:rPr>
            </w:pPr>
            <w:r>
              <w:rPr>
                <w:rFonts w:hint="eastAsia" w:ascii="宋体" w:hAnsi="宋体" w:cs="宋体"/>
                <w:color w:val="auto"/>
                <w:szCs w:val="21"/>
                <w:highlight w:val="none"/>
              </w:rPr>
              <w:t>人均面积平方米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570" w:type="dxa"/>
            <w:vMerge w:val="continue"/>
            <w:vAlign w:val="center"/>
          </w:tcPr>
          <w:p>
            <w:pPr>
              <w:rPr>
                <w:rFonts w:ascii="宋体" w:cs="宋体"/>
                <w:color w:val="auto"/>
                <w:szCs w:val="21"/>
                <w:highlight w:val="none"/>
              </w:rPr>
            </w:pPr>
          </w:p>
        </w:tc>
        <w:tc>
          <w:tcPr>
            <w:tcW w:w="1195" w:type="dxa"/>
            <w:vAlign w:val="center"/>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员工总数</w:t>
            </w:r>
          </w:p>
        </w:tc>
        <w:tc>
          <w:tcPr>
            <w:tcW w:w="1145" w:type="dxa"/>
            <w:gridSpan w:val="2"/>
            <w:vAlign w:val="center"/>
          </w:tcPr>
          <w:p>
            <w:pPr>
              <w:tabs>
                <w:tab w:val="left" w:pos="540"/>
              </w:tabs>
              <w:snapToGrid w:val="0"/>
              <w:spacing w:line="360" w:lineRule="auto"/>
              <w:ind w:left="-132" w:leftChars="-64" w:right="-105" w:rightChars="-50" w:hanging="2"/>
              <w:jc w:val="right"/>
              <w:textAlignment w:val="center"/>
              <w:rPr>
                <w:rFonts w:ascii="宋体" w:cs="宋体"/>
                <w:color w:val="auto"/>
                <w:szCs w:val="21"/>
                <w:highlight w:val="none"/>
              </w:rPr>
            </w:pPr>
            <w:r>
              <w:rPr>
                <w:rFonts w:hint="eastAsia" w:ascii="宋体" w:hAnsi="宋体" w:cs="宋体"/>
                <w:color w:val="auto"/>
                <w:szCs w:val="21"/>
                <w:highlight w:val="none"/>
              </w:rPr>
              <w:t>人</w:t>
            </w:r>
          </w:p>
        </w:tc>
        <w:tc>
          <w:tcPr>
            <w:tcW w:w="5306" w:type="dxa"/>
            <w:gridSpan w:val="9"/>
            <w:vAlign w:val="center"/>
          </w:tcPr>
          <w:p>
            <w:pPr>
              <w:tabs>
                <w:tab w:val="left" w:pos="540"/>
              </w:tabs>
              <w:snapToGrid w:val="0"/>
              <w:spacing w:line="360" w:lineRule="auto"/>
              <w:ind w:right="-105" w:rightChars="-50"/>
              <w:textAlignment w:val="center"/>
              <w:rPr>
                <w:rFonts w:ascii="宋体" w:cs="宋体"/>
                <w:color w:val="auto"/>
                <w:szCs w:val="21"/>
                <w:highlight w:val="none"/>
              </w:rPr>
            </w:pPr>
            <w:r>
              <w:rPr>
                <w:rFonts w:hint="eastAsia" w:ascii="宋体" w:hAnsi="宋体" w:cs="宋体"/>
                <w:color w:val="auto"/>
                <w:szCs w:val="21"/>
                <w:highlight w:val="none"/>
              </w:rPr>
              <w:t>其中：初级职称人，中级职称人，高级职称人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08" w:hRule="atLeast"/>
          <w:jc w:val="center"/>
        </w:trPr>
        <w:tc>
          <w:tcPr>
            <w:tcW w:w="1570" w:type="dxa"/>
            <w:vMerge w:val="continue"/>
            <w:vAlign w:val="center"/>
          </w:tcPr>
          <w:p>
            <w:pPr>
              <w:rPr>
                <w:rFonts w:ascii="宋体" w:cs="宋体"/>
                <w:color w:val="auto"/>
                <w:szCs w:val="21"/>
                <w:highlight w:val="none"/>
              </w:rPr>
            </w:pPr>
          </w:p>
        </w:tc>
        <w:tc>
          <w:tcPr>
            <w:tcW w:w="1195" w:type="dxa"/>
            <w:vMerge w:val="restart"/>
            <w:vAlign w:val="center"/>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资产情况</w:t>
            </w:r>
          </w:p>
        </w:tc>
        <w:tc>
          <w:tcPr>
            <w:tcW w:w="1145"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净资产</w:t>
            </w:r>
          </w:p>
        </w:tc>
        <w:tc>
          <w:tcPr>
            <w:tcW w:w="1550" w:type="dxa"/>
            <w:gridSpan w:val="3"/>
            <w:vAlign w:val="center"/>
          </w:tcPr>
          <w:p>
            <w:pPr>
              <w:tabs>
                <w:tab w:val="left" w:pos="540"/>
              </w:tabs>
              <w:snapToGrid w:val="0"/>
              <w:spacing w:line="360" w:lineRule="auto"/>
              <w:ind w:left="-134" w:leftChars="-64" w:right="34" w:rightChars="16"/>
              <w:jc w:val="right"/>
              <w:textAlignment w:val="center"/>
              <w:rPr>
                <w:rFonts w:ascii="宋体" w:cs="宋体"/>
                <w:color w:val="auto"/>
                <w:szCs w:val="21"/>
                <w:highlight w:val="none"/>
              </w:rPr>
            </w:pPr>
            <w:r>
              <w:rPr>
                <w:rFonts w:hint="eastAsia" w:ascii="宋体" w:hAnsi="宋体" w:cs="宋体"/>
                <w:color w:val="auto"/>
                <w:szCs w:val="21"/>
                <w:highlight w:val="none"/>
              </w:rPr>
              <w:t>万元</w:t>
            </w:r>
          </w:p>
        </w:tc>
        <w:tc>
          <w:tcPr>
            <w:tcW w:w="1763" w:type="dxa"/>
            <w:gridSpan w:val="3"/>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固定资产原值</w:t>
            </w:r>
          </w:p>
        </w:tc>
        <w:tc>
          <w:tcPr>
            <w:tcW w:w="1993" w:type="dxa"/>
            <w:gridSpan w:val="3"/>
            <w:vAlign w:val="center"/>
          </w:tcPr>
          <w:p>
            <w:pPr>
              <w:tabs>
                <w:tab w:val="left" w:pos="540"/>
              </w:tabs>
              <w:wordWrap w:val="0"/>
              <w:snapToGrid w:val="0"/>
              <w:spacing w:line="360" w:lineRule="auto"/>
              <w:ind w:left="-134" w:leftChars="-64" w:right="-105" w:rightChars="-50"/>
              <w:jc w:val="right"/>
              <w:textAlignment w:val="center"/>
              <w:rPr>
                <w:rFonts w:ascii="宋体" w:cs="宋体"/>
                <w:color w:val="auto"/>
                <w:szCs w:val="21"/>
                <w:highlight w:val="none"/>
              </w:rPr>
            </w:pPr>
            <w:r>
              <w:rPr>
                <w:rFonts w:hint="eastAsia" w:ascii="宋体" w:hAnsi="宋体" w:cs="宋体"/>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44" w:hRule="atLeast"/>
          <w:jc w:val="center"/>
        </w:trPr>
        <w:tc>
          <w:tcPr>
            <w:tcW w:w="1570" w:type="dxa"/>
            <w:vMerge w:val="continue"/>
            <w:vAlign w:val="center"/>
          </w:tcPr>
          <w:p>
            <w:pPr>
              <w:rPr>
                <w:rFonts w:ascii="宋体" w:cs="宋体"/>
                <w:color w:val="auto"/>
                <w:szCs w:val="21"/>
                <w:highlight w:val="none"/>
              </w:rPr>
            </w:pPr>
          </w:p>
        </w:tc>
        <w:tc>
          <w:tcPr>
            <w:tcW w:w="1195" w:type="dxa"/>
            <w:vMerge w:val="continue"/>
            <w:vAlign w:val="center"/>
          </w:tcPr>
          <w:p>
            <w:pPr>
              <w:rPr>
                <w:rFonts w:ascii="宋体" w:cs="宋体"/>
                <w:color w:val="auto"/>
                <w:szCs w:val="21"/>
                <w:highlight w:val="none"/>
              </w:rPr>
            </w:pPr>
          </w:p>
        </w:tc>
        <w:tc>
          <w:tcPr>
            <w:tcW w:w="1145" w:type="dxa"/>
            <w:gridSpan w:val="2"/>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负债</w:t>
            </w:r>
          </w:p>
        </w:tc>
        <w:tc>
          <w:tcPr>
            <w:tcW w:w="1550" w:type="dxa"/>
            <w:gridSpan w:val="3"/>
            <w:vAlign w:val="center"/>
          </w:tcPr>
          <w:p>
            <w:pPr>
              <w:tabs>
                <w:tab w:val="left" w:pos="540"/>
              </w:tabs>
              <w:snapToGrid w:val="0"/>
              <w:spacing w:line="360" w:lineRule="auto"/>
              <w:ind w:left="-134" w:leftChars="-64" w:right="34" w:rightChars="16"/>
              <w:jc w:val="right"/>
              <w:textAlignment w:val="center"/>
              <w:rPr>
                <w:rFonts w:ascii="宋体" w:cs="宋体"/>
                <w:color w:val="auto"/>
                <w:szCs w:val="21"/>
                <w:highlight w:val="none"/>
              </w:rPr>
            </w:pPr>
            <w:r>
              <w:rPr>
                <w:rFonts w:hint="eastAsia" w:ascii="宋体" w:hAnsi="宋体" w:cs="宋体"/>
                <w:color w:val="auto"/>
                <w:szCs w:val="21"/>
                <w:highlight w:val="none"/>
              </w:rPr>
              <w:t>万元</w:t>
            </w:r>
          </w:p>
        </w:tc>
        <w:tc>
          <w:tcPr>
            <w:tcW w:w="1763" w:type="dxa"/>
            <w:gridSpan w:val="3"/>
            <w:vAlign w:val="center"/>
          </w:tcPr>
          <w:p>
            <w:pPr>
              <w:tabs>
                <w:tab w:val="left" w:pos="540"/>
              </w:tabs>
              <w:snapToGrid w:val="0"/>
              <w:spacing w:line="360" w:lineRule="auto"/>
              <w:ind w:left="-134" w:leftChars="-64"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固定资产净值</w:t>
            </w:r>
          </w:p>
        </w:tc>
        <w:tc>
          <w:tcPr>
            <w:tcW w:w="1993" w:type="dxa"/>
            <w:gridSpan w:val="3"/>
            <w:vAlign w:val="center"/>
          </w:tcPr>
          <w:p>
            <w:pPr>
              <w:tabs>
                <w:tab w:val="left" w:pos="540"/>
              </w:tabs>
              <w:wordWrap w:val="0"/>
              <w:snapToGrid w:val="0"/>
              <w:spacing w:line="360" w:lineRule="auto"/>
              <w:ind w:left="-134" w:leftChars="-64" w:right="-105" w:rightChars="-50"/>
              <w:jc w:val="right"/>
              <w:textAlignment w:val="center"/>
              <w:rPr>
                <w:rFonts w:ascii="宋体" w:cs="宋体"/>
                <w:color w:val="auto"/>
                <w:szCs w:val="21"/>
                <w:highlight w:val="none"/>
              </w:rPr>
            </w:pPr>
            <w:r>
              <w:rPr>
                <w:rFonts w:hint="eastAsia" w:ascii="宋体" w:hAnsi="宋体" w:cs="宋体"/>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21" w:hRule="atLeast"/>
          <w:jc w:val="center"/>
        </w:trPr>
        <w:tc>
          <w:tcPr>
            <w:tcW w:w="1570" w:type="dxa"/>
            <w:vMerge w:val="restart"/>
            <w:vAlign w:val="center"/>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财务状况</w:t>
            </w:r>
          </w:p>
        </w:tc>
        <w:tc>
          <w:tcPr>
            <w:tcW w:w="1195" w:type="dxa"/>
            <w:vAlign w:val="center"/>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年度</w:t>
            </w:r>
          </w:p>
        </w:tc>
        <w:tc>
          <w:tcPr>
            <w:tcW w:w="1145" w:type="dxa"/>
            <w:gridSpan w:val="2"/>
            <w:vAlign w:val="center"/>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主营收入</w:t>
            </w:r>
          </w:p>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（万元）</w:t>
            </w:r>
          </w:p>
        </w:tc>
        <w:tc>
          <w:tcPr>
            <w:tcW w:w="1550" w:type="dxa"/>
            <w:gridSpan w:val="3"/>
            <w:vAlign w:val="center"/>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收入总额</w:t>
            </w:r>
          </w:p>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（万元）</w:t>
            </w:r>
          </w:p>
        </w:tc>
        <w:tc>
          <w:tcPr>
            <w:tcW w:w="1276" w:type="dxa"/>
            <w:gridSpan w:val="2"/>
            <w:vAlign w:val="center"/>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利润总额</w:t>
            </w:r>
          </w:p>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（万元）</w:t>
            </w:r>
          </w:p>
        </w:tc>
        <w:tc>
          <w:tcPr>
            <w:tcW w:w="1275" w:type="dxa"/>
            <w:gridSpan w:val="3"/>
            <w:vAlign w:val="center"/>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净利润</w:t>
            </w:r>
          </w:p>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r>
              <w:rPr>
                <w:rFonts w:hint="eastAsia" w:ascii="宋体" w:hAnsi="宋体" w:cs="宋体"/>
                <w:color w:val="auto"/>
                <w:szCs w:val="21"/>
                <w:highlight w:val="none"/>
              </w:rPr>
              <w:t>（万元）</w:t>
            </w:r>
          </w:p>
        </w:tc>
        <w:tc>
          <w:tcPr>
            <w:tcW w:w="1205" w:type="dxa"/>
            <w:vAlign w:val="center"/>
          </w:tcPr>
          <w:p>
            <w:pPr>
              <w:tabs>
                <w:tab w:val="left" w:pos="540"/>
              </w:tabs>
              <w:snapToGrid w:val="0"/>
              <w:spacing w:line="360" w:lineRule="auto"/>
              <w:ind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资产</w:t>
            </w:r>
          </w:p>
          <w:p>
            <w:pPr>
              <w:tabs>
                <w:tab w:val="left" w:pos="540"/>
              </w:tabs>
              <w:snapToGrid w:val="0"/>
              <w:spacing w:line="360" w:lineRule="auto"/>
              <w:ind w:right="-105" w:rightChars="-50"/>
              <w:jc w:val="center"/>
              <w:textAlignment w:val="center"/>
              <w:rPr>
                <w:rFonts w:ascii="宋体" w:cs="宋体"/>
                <w:color w:val="auto"/>
                <w:szCs w:val="21"/>
                <w:highlight w:val="none"/>
              </w:rPr>
            </w:pPr>
            <w:r>
              <w:rPr>
                <w:rFonts w:hint="eastAsia" w:ascii="宋体" w:hAnsi="宋体" w:cs="宋体"/>
                <w:color w:val="auto"/>
                <w:szCs w:val="21"/>
                <w:highlight w:val="none"/>
              </w:rPr>
              <w:t>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570" w:type="dxa"/>
            <w:vMerge w:val="continue"/>
            <w:vAlign w:val="center"/>
          </w:tcPr>
          <w:p>
            <w:pPr>
              <w:rPr>
                <w:rFonts w:ascii="宋体" w:cs="宋体"/>
                <w:color w:val="auto"/>
                <w:szCs w:val="21"/>
                <w:highlight w:val="none"/>
              </w:rPr>
            </w:pPr>
          </w:p>
        </w:tc>
        <w:tc>
          <w:tcPr>
            <w:tcW w:w="1195" w:type="dxa"/>
            <w:vAlign w:val="center"/>
          </w:tcPr>
          <w:p>
            <w:pPr>
              <w:tabs>
                <w:tab w:val="left" w:pos="540"/>
              </w:tabs>
              <w:snapToGrid w:val="0"/>
              <w:spacing w:line="360" w:lineRule="auto"/>
              <w:ind w:left="-134" w:leftChars="-64" w:right="-105" w:rightChars="-50"/>
              <w:jc w:val="center"/>
              <w:textAlignment w:val="center"/>
              <w:rPr>
                <w:rFonts w:hint="eastAsia" w:ascii="宋体" w:eastAsia="宋体" w:cs="宋体"/>
                <w:color w:val="auto"/>
                <w:szCs w:val="21"/>
                <w:highlight w:val="none"/>
                <w:lang w:eastAsia="zh-CN"/>
              </w:rPr>
            </w:pPr>
            <w:r>
              <w:rPr>
                <w:rFonts w:ascii="宋体" w:hAnsi="宋体" w:cs="宋体"/>
                <w:color w:val="auto"/>
                <w:szCs w:val="21"/>
                <w:highlight w:val="none"/>
              </w:rPr>
              <w:t>201</w:t>
            </w:r>
            <w:r>
              <w:rPr>
                <w:rFonts w:hint="eastAsia" w:ascii="宋体" w:hAnsi="宋体" w:cs="宋体"/>
                <w:color w:val="auto"/>
                <w:szCs w:val="21"/>
                <w:highlight w:val="none"/>
                <w:lang w:val="en-US" w:eastAsia="zh-CN"/>
              </w:rPr>
              <w:t>6</w:t>
            </w:r>
          </w:p>
        </w:tc>
        <w:tc>
          <w:tcPr>
            <w:tcW w:w="1145" w:type="dxa"/>
            <w:gridSpan w:val="2"/>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c>
          <w:tcPr>
            <w:tcW w:w="1550" w:type="dxa"/>
            <w:gridSpan w:val="3"/>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c>
          <w:tcPr>
            <w:tcW w:w="1276" w:type="dxa"/>
            <w:gridSpan w:val="2"/>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c>
          <w:tcPr>
            <w:tcW w:w="1275" w:type="dxa"/>
            <w:gridSpan w:val="3"/>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c>
          <w:tcPr>
            <w:tcW w:w="1205" w:type="dxa"/>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570" w:type="dxa"/>
            <w:vMerge w:val="continue"/>
            <w:vAlign w:val="center"/>
          </w:tcPr>
          <w:p>
            <w:pPr>
              <w:rPr>
                <w:rFonts w:ascii="宋体" w:cs="宋体"/>
                <w:color w:val="auto"/>
                <w:szCs w:val="21"/>
                <w:highlight w:val="none"/>
              </w:rPr>
            </w:pPr>
          </w:p>
        </w:tc>
        <w:tc>
          <w:tcPr>
            <w:tcW w:w="1195" w:type="dxa"/>
            <w:vAlign w:val="center"/>
          </w:tcPr>
          <w:p>
            <w:pPr>
              <w:tabs>
                <w:tab w:val="left" w:pos="540"/>
              </w:tabs>
              <w:snapToGrid w:val="0"/>
              <w:spacing w:line="360" w:lineRule="auto"/>
              <w:ind w:left="-134" w:leftChars="-64" w:right="-105" w:rightChars="-50"/>
              <w:jc w:val="center"/>
              <w:textAlignment w:val="center"/>
              <w:rPr>
                <w:rFonts w:hint="eastAsia" w:ascii="宋体" w:eastAsia="宋体" w:cs="宋体"/>
                <w:color w:val="auto"/>
                <w:szCs w:val="21"/>
                <w:highlight w:val="none"/>
                <w:lang w:val="en-US" w:eastAsia="zh-CN"/>
              </w:rPr>
            </w:pPr>
            <w:r>
              <w:rPr>
                <w:rFonts w:ascii="宋体" w:hAnsi="宋体" w:cs="宋体"/>
                <w:color w:val="auto"/>
                <w:szCs w:val="21"/>
                <w:highlight w:val="none"/>
              </w:rPr>
              <w:t>201</w:t>
            </w:r>
            <w:r>
              <w:rPr>
                <w:rFonts w:hint="eastAsia" w:ascii="宋体" w:hAnsi="宋体" w:cs="宋体"/>
                <w:color w:val="auto"/>
                <w:szCs w:val="21"/>
                <w:highlight w:val="none"/>
                <w:lang w:val="en-US" w:eastAsia="zh-CN"/>
              </w:rPr>
              <w:t>7</w:t>
            </w:r>
          </w:p>
        </w:tc>
        <w:tc>
          <w:tcPr>
            <w:tcW w:w="1145" w:type="dxa"/>
            <w:gridSpan w:val="2"/>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c>
          <w:tcPr>
            <w:tcW w:w="1550" w:type="dxa"/>
            <w:gridSpan w:val="3"/>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c>
          <w:tcPr>
            <w:tcW w:w="1276" w:type="dxa"/>
            <w:gridSpan w:val="2"/>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c>
          <w:tcPr>
            <w:tcW w:w="1275" w:type="dxa"/>
            <w:gridSpan w:val="3"/>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c>
          <w:tcPr>
            <w:tcW w:w="1205" w:type="dxa"/>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570" w:type="dxa"/>
            <w:vMerge w:val="continue"/>
            <w:vAlign w:val="center"/>
          </w:tcPr>
          <w:p>
            <w:pPr>
              <w:rPr>
                <w:rFonts w:ascii="宋体" w:cs="宋体"/>
                <w:color w:val="auto"/>
                <w:szCs w:val="21"/>
                <w:highlight w:val="none"/>
              </w:rPr>
            </w:pPr>
          </w:p>
        </w:tc>
        <w:tc>
          <w:tcPr>
            <w:tcW w:w="1195" w:type="dxa"/>
            <w:vAlign w:val="center"/>
          </w:tcPr>
          <w:p>
            <w:pPr>
              <w:tabs>
                <w:tab w:val="left" w:pos="540"/>
              </w:tabs>
              <w:snapToGrid w:val="0"/>
              <w:spacing w:line="360" w:lineRule="auto"/>
              <w:ind w:left="-134" w:leftChars="-64" w:right="-105" w:rightChars="-50"/>
              <w:jc w:val="center"/>
              <w:textAlignment w:val="center"/>
              <w:rPr>
                <w:rFonts w:hint="eastAsia" w:ascii="宋体" w:eastAsia="宋体" w:cs="宋体"/>
                <w:color w:val="auto"/>
                <w:szCs w:val="21"/>
                <w:highlight w:val="none"/>
                <w:lang w:eastAsia="zh-CN"/>
              </w:rPr>
            </w:pPr>
            <w:r>
              <w:rPr>
                <w:rFonts w:ascii="宋体" w:hAnsi="宋体" w:cs="宋体"/>
                <w:color w:val="auto"/>
                <w:szCs w:val="21"/>
                <w:highlight w:val="none"/>
              </w:rPr>
              <w:t>201</w:t>
            </w:r>
            <w:r>
              <w:rPr>
                <w:rFonts w:hint="eastAsia" w:ascii="宋体" w:hAnsi="宋体" w:cs="宋体"/>
                <w:color w:val="auto"/>
                <w:szCs w:val="21"/>
                <w:highlight w:val="none"/>
                <w:lang w:val="en-US" w:eastAsia="zh-CN"/>
              </w:rPr>
              <w:t>8</w:t>
            </w:r>
          </w:p>
        </w:tc>
        <w:tc>
          <w:tcPr>
            <w:tcW w:w="1145" w:type="dxa"/>
            <w:gridSpan w:val="2"/>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c>
          <w:tcPr>
            <w:tcW w:w="1550" w:type="dxa"/>
            <w:gridSpan w:val="3"/>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c>
          <w:tcPr>
            <w:tcW w:w="1276" w:type="dxa"/>
            <w:gridSpan w:val="2"/>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c>
          <w:tcPr>
            <w:tcW w:w="1275" w:type="dxa"/>
            <w:gridSpan w:val="3"/>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c>
          <w:tcPr>
            <w:tcW w:w="1205" w:type="dxa"/>
          </w:tcPr>
          <w:p>
            <w:pPr>
              <w:tabs>
                <w:tab w:val="left" w:pos="540"/>
              </w:tabs>
              <w:snapToGrid w:val="0"/>
              <w:spacing w:line="360" w:lineRule="auto"/>
              <w:ind w:left="-132" w:leftChars="-64" w:right="-105" w:rightChars="-50" w:hanging="2"/>
              <w:jc w:val="center"/>
              <w:textAlignment w:val="center"/>
              <w:rPr>
                <w:rFonts w:ascii="宋体" w:cs="宋体"/>
                <w:color w:val="auto"/>
                <w:szCs w:val="21"/>
                <w:highlight w:val="none"/>
              </w:rPr>
            </w:pPr>
          </w:p>
        </w:tc>
      </w:tr>
    </w:tbl>
    <w:p>
      <w:pPr>
        <w:spacing w:before="156" w:after="156" w:line="400" w:lineRule="exact"/>
        <w:rPr>
          <w:rFonts w:ascii="宋体" w:cs="宋体"/>
          <w:bCs/>
          <w:color w:val="auto"/>
          <w:kern w:val="2"/>
          <w:szCs w:val="21"/>
          <w:highlight w:val="none"/>
          <w:lang w:val="en-GB"/>
        </w:rPr>
      </w:pPr>
      <w:r>
        <w:rPr>
          <w:rFonts w:hint="eastAsia"/>
          <w:b/>
          <w:bCs/>
          <w:color w:val="auto"/>
          <w:szCs w:val="21"/>
          <w:highlight w:val="none"/>
        </w:rPr>
        <w:t>注：请投标人在投标文件中提供第三方审核的审计报告。</w:t>
      </w:r>
    </w:p>
    <w:p>
      <w:pPr>
        <w:tabs>
          <w:tab w:val="left" w:pos="180"/>
        </w:tabs>
        <w:spacing w:line="360" w:lineRule="auto"/>
        <w:rPr>
          <w:rFonts w:hint="eastAsia" w:ascii="宋体" w:hAnsi="宋体" w:cs="宋体"/>
          <w:b/>
          <w:color w:val="auto"/>
          <w:szCs w:val="21"/>
          <w:highlight w:val="none"/>
        </w:rPr>
      </w:pPr>
    </w:p>
    <w:p>
      <w:pPr>
        <w:tabs>
          <w:tab w:val="left" w:pos="180"/>
        </w:tabs>
        <w:spacing w:line="360" w:lineRule="auto"/>
        <w:rPr>
          <w:rFonts w:ascii="宋体" w:cs="宋体"/>
          <w:b/>
          <w:color w:val="auto"/>
          <w:szCs w:val="21"/>
          <w:highlight w:val="none"/>
        </w:rPr>
      </w:pPr>
      <w:r>
        <w:rPr>
          <w:rFonts w:hint="eastAsia" w:ascii="宋体" w:hAnsi="宋体" w:cs="宋体"/>
          <w:b/>
          <w:color w:val="auto"/>
          <w:szCs w:val="21"/>
          <w:highlight w:val="none"/>
        </w:rPr>
        <w:t>（二）</w:t>
      </w:r>
      <w:r>
        <w:rPr>
          <w:rFonts w:ascii="宋体" w:hAnsi="宋体" w:cs="宋体"/>
          <w:b/>
          <w:color w:val="auto"/>
          <w:szCs w:val="21"/>
          <w:highlight w:val="none"/>
        </w:rPr>
        <w:t>201</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年</w:t>
      </w:r>
      <w:r>
        <w:rPr>
          <w:rFonts w:hint="eastAsia" w:ascii="宋体" w:hAnsi="宋体" w:cs="宋体"/>
          <w:b/>
          <w:color w:val="auto"/>
          <w:szCs w:val="21"/>
          <w:highlight w:val="none"/>
          <w:lang w:val="en-US" w:eastAsia="zh-CN"/>
        </w:rPr>
        <w:t>1月</w:t>
      </w:r>
      <w:r>
        <w:rPr>
          <w:rFonts w:hint="eastAsia" w:ascii="宋体" w:hAnsi="宋体"/>
          <w:b/>
          <w:bCs/>
          <w:color w:val="auto"/>
          <w:szCs w:val="21"/>
          <w:highlight w:val="none"/>
        </w:rPr>
        <w:t>以来完成的业绩</w:t>
      </w:r>
    </w:p>
    <w:tbl>
      <w:tblPr>
        <w:tblStyle w:val="55"/>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shd w:val="clear" w:color="auto" w:fill="FFFFFF"/>
            <w:vAlign w:val="center"/>
          </w:tcPr>
          <w:p>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序号</w:t>
            </w:r>
          </w:p>
        </w:tc>
        <w:tc>
          <w:tcPr>
            <w:tcW w:w="2031" w:type="dxa"/>
            <w:shd w:val="clear" w:color="auto" w:fill="FFFFFF"/>
            <w:vAlign w:val="center"/>
          </w:tcPr>
          <w:p>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客户名称</w:t>
            </w:r>
          </w:p>
        </w:tc>
        <w:tc>
          <w:tcPr>
            <w:tcW w:w="2451" w:type="dxa"/>
            <w:shd w:val="clear" w:color="auto" w:fill="FFFFFF"/>
            <w:vAlign w:val="center"/>
          </w:tcPr>
          <w:p>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项目名称</w:t>
            </w:r>
          </w:p>
        </w:tc>
        <w:tc>
          <w:tcPr>
            <w:tcW w:w="1330" w:type="dxa"/>
            <w:shd w:val="clear" w:color="auto" w:fill="FFFFFF"/>
            <w:vAlign w:val="center"/>
          </w:tcPr>
          <w:p>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合同金额</w:t>
            </w:r>
          </w:p>
          <w:p>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（万元）</w:t>
            </w:r>
          </w:p>
        </w:tc>
        <w:tc>
          <w:tcPr>
            <w:tcW w:w="1236" w:type="dxa"/>
            <w:shd w:val="clear" w:color="auto" w:fill="FFFFFF"/>
            <w:vAlign w:val="center"/>
          </w:tcPr>
          <w:p>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项目起止时间</w:t>
            </w:r>
          </w:p>
        </w:tc>
        <w:tc>
          <w:tcPr>
            <w:tcW w:w="1237" w:type="dxa"/>
            <w:shd w:val="clear" w:color="auto" w:fill="FFFFFF"/>
            <w:vAlign w:val="center"/>
          </w:tcPr>
          <w:p>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72" w:type="dxa"/>
            <w:shd w:val="clear" w:color="auto" w:fill="FFFFFF"/>
            <w:vAlign w:val="center"/>
          </w:tcPr>
          <w:p>
            <w:pPr>
              <w:spacing w:line="360" w:lineRule="auto"/>
              <w:jc w:val="center"/>
              <w:rPr>
                <w:rFonts w:ascii="宋体" w:cs="宋体"/>
                <w:color w:val="auto"/>
                <w:szCs w:val="21"/>
                <w:highlight w:val="none"/>
              </w:rPr>
            </w:pPr>
            <w:r>
              <w:rPr>
                <w:rFonts w:ascii="宋体" w:hAnsi="宋体" w:cs="宋体"/>
                <w:color w:val="auto"/>
                <w:szCs w:val="21"/>
                <w:highlight w:val="none"/>
              </w:rPr>
              <w:t>1</w:t>
            </w:r>
          </w:p>
        </w:tc>
        <w:tc>
          <w:tcPr>
            <w:tcW w:w="2031" w:type="dxa"/>
            <w:shd w:val="clear" w:color="auto" w:fill="FFFFFF"/>
            <w:vAlign w:val="center"/>
          </w:tcPr>
          <w:p>
            <w:pPr>
              <w:spacing w:line="360" w:lineRule="auto"/>
              <w:jc w:val="center"/>
              <w:rPr>
                <w:rFonts w:ascii="宋体" w:cs="宋体"/>
                <w:color w:val="auto"/>
                <w:szCs w:val="21"/>
                <w:highlight w:val="none"/>
              </w:rPr>
            </w:pPr>
          </w:p>
        </w:tc>
        <w:tc>
          <w:tcPr>
            <w:tcW w:w="2451" w:type="dxa"/>
            <w:shd w:val="clear" w:color="auto" w:fill="FFFFFF"/>
            <w:vAlign w:val="center"/>
          </w:tcPr>
          <w:p>
            <w:pPr>
              <w:spacing w:line="360" w:lineRule="auto"/>
              <w:jc w:val="center"/>
              <w:rPr>
                <w:rFonts w:ascii="宋体" w:cs="宋体"/>
                <w:color w:val="auto"/>
                <w:szCs w:val="21"/>
                <w:highlight w:val="none"/>
              </w:rPr>
            </w:pPr>
          </w:p>
        </w:tc>
        <w:tc>
          <w:tcPr>
            <w:tcW w:w="1330" w:type="dxa"/>
            <w:shd w:val="clear" w:color="auto" w:fill="FFFFFF"/>
            <w:vAlign w:val="center"/>
          </w:tcPr>
          <w:p>
            <w:pPr>
              <w:spacing w:line="360" w:lineRule="auto"/>
              <w:jc w:val="center"/>
              <w:rPr>
                <w:rFonts w:ascii="宋体" w:cs="宋体"/>
                <w:color w:val="auto"/>
                <w:szCs w:val="21"/>
                <w:highlight w:val="none"/>
              </w:rPr>
            </w:pPr>
          </w:p>
        </w:tc>
        <w:tc>
          <w:tcPr>
            <w:tcW w:w="1236" w:type="dxa"/>
            <w:shd w:val="clear" w:color="auto" w:fill="FFFFFF"/>
            <w:vAlign w:val="center"/>
          </w:tcPr>
          <w:p>
            <w:pPr>
              <w:spacing w:line="360" w:lineRule="auto"/>
              <w:jc w:val="center"/>
              <w:rPr>
                <w:rFonts w:ascii="宋体" w:cs="宋体"/>
                <w:color w:val="auto"/>
                <w:szCs w:val="21"/>
                <w:highlight w:val="none"/>
              </w:rPr>
            </w:pPr>
          </w:p>
        </w:tc>
        <w:tc>
          <w:tcPr>
            <w:tcW w:w="1237" w:type="dxa"/>
            <w:shd w:val="clear" w:color="auto" w:fill="FFFFFF"/>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72" w:type="dxa"/>
            <w:shd w:val="clear" w:color="auto" w:fill="FFFFFF"/>
            <w:vAlign w:val="center"/>
          </w:tcPr>
          <w:p>
            <w:pPr>
              <w:spacing w:line="360" w:lineRule="auto"/>
              <w:jc w:val="center"/>
              <w:rPr>
                <w:rFonts w:ascii="宋体" w:cs="宋体"/>
                <w:color w:val="auto"/>
                <w:szCs w:val="21"/>
                <w:highlight w:val="none"/>
              </w:rPr>
            </w:pPr>
            <w:r>
              <w:rPr>
                <w:rFonts w:ascii="宋体" w:hAnsi="宋体" w:cs="宋体"/>
                <w:color w:val="auto"/>
                <w:szCs w:val="21"/>
                <w:highlight w:val="none"/>
              </w:rPr>
              <w:t>2</w:t>
            </w:r>
          </w:p>
        </w:tc>
        <w:tc>
          <w:tcPr>
            <w:tcW w:w="2031" w:type="dxa"/>
            <w:shd w:val="clear" w:color="auto" w:fill="FFFFFF"/>
            <w:vAlign w:val="center"/>
          </w:tcPr>
          <w:p>
            <w:pPr>
              <w:spacing w:line="360" w:lineRule="auto"/>
              <w:jc w:val="center"/>
              <w:rPr>
                <w:rFonts w:ascii="宋体" w:cs="宋体"/>
                <w:color w:val="auto"/>
                <w:szCs w:val="21"/>
                <w:highlight w:val="none"/>
              </w:rPr>
            </w:pPr>
          </w:p>
        </w:tc>
        <w:tc>
          <w:tcPr>
            <w:tcW w:w="2451" w:type="dxa"/>
            <w:shd w:val="clear" w:color="auto" w:fill="FFFFFF"/>
            <w:vAlign w:val="center"/>
          </w:tcPr>
          <w:p>
            <w:pPr>
              <w:spacing w:line="360" w:lineRule="auto"/>
              <w:jc w:val="center"/>
              <w:rPr>
                <w:rFonts w:ascii="宋体" w:cs="宋体"/>
                <w:color w:val="auto"/>
                <w:szCs w:val="21"/>
                <w:highlight w:val="none"/>
              </w:rPr>
            </w:pPr>
          </w:p>
        </w:tc>
        <w:tc>
          <w:tcPr>
            <w:tcW w:w="1330" w:type="dxa"/>
            <w:shd w:val="clear" w:color="auto" w:fill="FFFFFF"/>
            <w:vAlign w:val="center"/>
          </w:tcPr>
          <w:p>
            <w:pPr>
              <w:spacing w:line="360" w:lineRule="auto"/>
              <w:jc w:val="center"/>
              <w:rPr>
                <w:rFonts w:ascii="宋体" w:cs="宋体"/>
                <w:color w:val="auto"/>
                <w:szCs w:val="21"/>
                <w:highlight w:val="none"/>
              </w:rPr>
            </w:pPr>
          </w:p>
        </w:tc>
        <w:tc>
          <w:tcPr>
            <w:tcW w:w="1236" w:type="dxa"/>
            <w:shd w:val="clear" w:color="auto" w:fill="FFFFFF"/>
            <w:vAlign w:val="center"/>
          </w:tcPr>
          <w:p>
            <w:pPr>
              <w:pStyle w:val="233"/>
              <w:spacing w:line="360" w:lineRule="auto"/>
              <w:ind w:right="-105"/>
              <w:rPr>
                <w:rFonts w:ascii="宋体" w:cs="宋体"/>
                <w:color w:val="auto"/>
                <w:szCs w:val="21"/>
                <w:highlight w:val="none"/>
              </w:rPr>
            </w:pPr>
          </w:p>
        </w:tc>
        <w:tc>
          <w:tcPr>
            <w:tcW w:w="1237" w:type="dxa"/>
            <w:shd w:val="clear" w:color="auto" w:fill="FFFFFF"/>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72" w:type="dxa"/>
            <w:shd w:val="clear" w:color="auto" w:fill="FFFFFF"/>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w:t>
            </w:r>
          </w:p>
        </w:tc>
        <w:tc>
          <w:tcPr>
            <w:tcW w:w="2031" w:type="dxa"/>
            <w:shd w:val="clear" w:color="auto" w:fill="FFFFFF"/>
            <w:vAlign w:val="center"/>
          </w:tcPr>
          <w:p>
            <w:pPr>
              <w:spacing w:line="360" w:lineRule="auto"/>
              <w:jc w:val="center"/>
              <w:rPr>
                <w:rFonts w:ascii="宋体" w:cs="宋体"/>
                <w:color w:val="auto"/>
                <w:szCs w:val="21"/>
                <w:highlight w:val="none"/>
              </w:rPr>
            </w:pPr>
          </w:p>
        </w:tc>
        <w:tc>
          <w:tcPr>
            <w:tcW w:w="2451" w:type="dxa"/>
            <w:shd w:val="clear" w:color="auto" w:fill="FFFFFF"/>
            <w:vAlign w:val="center"/>
          </w:tcPr>
          <w:p>
            <w:pPr>
              <w:spacing w:line="360" w:lineRule="auto"/>
              <w:jc w:val="center"/>
              <w:rPr>
                <w:rFonts w:ascii="宋体" w:cs="宋体"/>
                <w:color w:val="auto"/>
                <w:szCs w:val="21"/>
                <w:highlight w:val="none"/>
              </w:rPr>
            </w:pPr>
          </w:p>
        </w:tc>
        <w:tc>
          <w:tcPr>
            <w:tcW w:w="1330" w:type="dxa"/>
            <w:shd w:val="clear" w:color="auto" w:fill="FFFFFF"/>
            <w:vAlign w:val="center"/>
          </w:tcPr>
          <w:p>
            <w:pPr>
              <w:spacing w:line="360" w:lineRule="auto"/>
              <w:jc w:val="center"/>
              <w:rPr>
                <w:rFonts w:ascii="宋体" w:cs="宋体"/>
                <w:color w:val="auto"/>
                <w:szCs w:val="21"/>
                <w:highlight w:val="none"/>
              </w:rPr>
            </w:pPr>
          </w:p>
        </w:tc>
        <w:tc>
          <w:tcPr>
            <w:tcW w:w="1236" w:type="dxa"/>
            <w:shd w:val="clear" w:color="auto" w:fill="FFFFFF"/>
            <w:vAlign w:val="center"/>
          </w:tcPr>
          <w:p>
            <w:pPr>
              <w:spacing w:line="360" w:lineRule="auto"/>
              <w:jc w:val="center"/>
              <w:rPr>
                <w:rFonts w:ascii="宋体" w:cs="宋体"/>
                <w:color w:val="auto"/>
                <w:szCs w:val="21"/>
                <w:highlight w:val="none"/>
              </w:rPr>
            </w:pPr>
          </w:p>
        </w:tc>
        <w:tc>
          <w:tcPr>
            <w:tcW w:w="1237" w:type="dxa"/>
            <w:shd w:val="clear" w:color="auto" w:fill="FFFFFF"/>
            <w:vAlign w:val="center"/>
          </w:tcPr>
          <w:p>
            <w:pPr>
              <w:spacing w:line="360" w:lineRule="auto"/>
              <w:jc w:val="center"/>
              <w:rPr>
                <w:rFonts w:ascii="宋体" w:cs="宋体"/>
                <w:color w:val="auto"/>
                <w:szCs w:val="21"/>
                <w:highlight w:val="none"/>
              </w:rPr>
            </w:pPr>
          </w:p>
        </w:tc>
      </w:tr>
    </w:tbl>
    <w:p>
      <w:pPr>
        <w:spacing w:line="360" w:lineRule="auto"/>
        <w:rPr>
          <w:rFonts w:ascii="宋体" w:cs="宋体"/>
          <w:color w:val="auto"/>
          <w:szCs w:val="21"/>
          <w:highlight w:val="none"/>
        </w:rPr>
      </w:pPr>
      <w:r>
        <w:rPr>
          <w:rFonts w:hint="eastAsia" w:ascii="宋体" w:hAnsi="宋体" w:cs="宋体"/>
          <w:color w:val="auto"/>
          <w:szCs w:val="21"/>
          <w:highlight w:val="none"/>
        </w:rPr>
        <w:t>注：提供合同复印件加盖公章。</w:t>
      </w:r>
    </w:p>
    <w:p>
      <w:pPr>
        <w:tabs>
          <w:tab w:val="left" w:pos="180"/>
        </w:tabs>
        <w:spacing w:before="120" w:beforeLines="50" w:line="360" w:lineRule="auto"/>
        <w:rPr>
          <w:rFonts w:ascii="宋体" w:cs="宋体"/>
          <w:b/>
          <w:color w:val="auto"/>
          <w:szCs w:val="21"/>
          <w:highlight w:val="none"/>
        </w:rPr>
      </w:pPr>
      <w:r>
        <w:rPr>
          <w:rFonts w:hint="eastAsia" w:ascii="宋体" w:hAnsi="宋体" w:cs="宋体"/>
          <w:b/>
          <w:color w:val="auto"/>
          <w:szCs w:val="21"/>
          <w:highlight w:val="none"/>
        </w:rPr>
        <w:t>（三）综合资质及社会信誉证书</w:t>
      </w:r>
    </w:p>
    <w:tbl>
      <w:tblPr>
        <w:tblStyle w:val="55"/>
        <w:tblW w:w="9361" w:type="dxa"/>
        <w:jc w:val="center"/>
        <w:tblInd w:w="-2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14"/>
        <w:gridCol w:w="2421"/>
        <w:gridCol w:w="1926"/>
        <w:gridCol w:w="18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90" w:hRule="atLeast"/>
          <w:tblHeader/>
          <w:jc w:val="center"/>
        </w:trPr>
        <w:tc>
          <w:tcPr>
            <w:tcW w:w="3214" w:type="dxa"/>
            <w:shd w:val="clear" w:color="auto" w:fill="FFFFFF"/>
            <w:vAlign w:val="center"/>
          </w:tcPr>
          <w:p>
            <w:pPr>
              <w:jc w:val="center"/>
              <w:rPr>
                <w:rFonts w:ascii="宋体"/>
                <w:b/>
                <w:color w:val="auto"/>
                <w:highlight w:val="none"/>
              </w:rPr>
            </w:pPr>
            <w:r>
              <w:rPr>
                <w:rFonts w:hint="eastAsia" w:ascii="宋体" w:hAnsi="宋体"/>
                <w:b/>
                <w:color w:val="auto"/>
                <w:highlight w:val="none"/>
              </w:rPr>
              <w:t>证书名称</w:t>
            </w:r>
          </w:p>
        </w:tc>
        <w:tc>
          <w:tcPr>
            <w:tcW w:w="2421" w:type="dxa"/>
            <w:shd w:val="clear" w:color="auto" w:fill="FFFFFF"/>
            <w:vAlign w:val="center"/>
          </w:tcPr>
          <w:p>
            <w:pPr>
              <w:jc w:val="center"/>
              <w:rPr>
                <w:rFonts w:ascii="宋体"/>
                <w:b/>
                <w:color w:val="auto"/>
                <w:highlight w:val="none"/>
              </w:rPr>
            </w:pPr>
            <w:r>
              <w:rPr>
                <w:rFonts w:hint="eastAsia" w:ascii="宋体" w:hAnsi="宋体"/>
                <w:b/>
                <w:color w:val="auto"/>
                <w:highlight w:val="none"/>
              </w:rPr>
              <w:t>发证单位</w:t>
            </w:r>
          </w:p>
        </w:tc>
        <w:tc>
          <w:tcPr>
            <w:tcW w:w="1926" w:type="dxa"/>
            <w:shd w:val="clear" w:color="auto" w:fill="FFFFFF"/>
            <w:vAlign w:val="center"/>
          </w:tcPr>
          <w:p>
            <w:pPr>
              <w:jc w:val="center"/>
              <w:rPr>
                <w:rFonts w:ascii="宋体"/>
                <w:b/>
                <w:color w:val="auto"/>
                <w:highlight w:val="none"/>
              </w:rPr>
            </w:pPr>
            <w:r>
              <w:rPr>
                <w:rFonts w:hint="eastAsia" w:ascii="宋体" w:hAnsi="宋体"/>
                <w:b/>
                <w:color w:val="auto"/>
                <w:highlight w:val="none"/>
              </w:rPr>
              <w:t>证书等级</w:t>
            </w:r>
          </w:p>
        </w:tc>
        <w:tc>
          <w:tcPr>
            <w:tcW w:w="1800" w:type="dxa"/>
            <w:shd w:val="clear" w:color="auto" w:fill="FFFFFF"/>
            <w:vAlign w:val="center"/>
          </w:tcPr>
          <w:p>
            <w:pPr>
              <w:jc w:val="center"/>
              <w:rPr>
                <w:rFonts w:ascii="宋体"/>
                <w:b/>
                <w:color w:val="auto"/>
                <w:highlight w:val="none"/>
              </w:rPr>
            </w:pPr>
            <w:r>
              <w:rPr>
                <w:rFonts w:hint="eastAsia" w:ascii="宋体" w:hAnsi="宋体"/>
                <w:b/>
                <w:color w:val="auto"/>
                <w:highlight w:val="none"/>
              </w:rPr>
              <w:t>证书有效期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14" w:type="dxa"/>
            <w:shd w:val="clear" w:color="auto" w:fill="FFFFFF"/>
          </w:tcPr>
          <w:p>
            <w:pPr>
              <w:spacing w:before="156" w:after="156" w:line="400" w:lineRule="exact"/>
              <w:rPr>
                <w:rFonts w:ascii="宋体"/>
                <w:color w:val="auto"/>
                <w:highlight w:val="none"/>
              </w:rPr>
            </w:pPr>
          </w:p>
        </w:tc>
        <w:tc>
          <w:tcPr>
            <w:tcW w:w="2421" w:type="dxa"/>
            <w:shd w:val="clear" w:color="auto" w:fill="FFFFFF"/>
          </w:tcPr>
          <w:p>
            <w:pPr>
              <w:spacing w:before="156" w:after="156" w:line="400" w:lineRule="exact"/>
              <w:rPr>
                <w:rFonts w:ascii="宋体"/>
                <w:color w:val="auto"/>
                <w:highlight w:val="none"/>
              </w:rPr>
            </w:pPr>
          </w:p>
        </w:tc>
        <w:tc>
          <w:tcPr>
            <w:tcW w:w="1926" w:type="dxa"/>
            <w:shd w:val="clear" w:color="auto" w:fill="FFFFFF"/>
          </w:tcPr>
          <w:p>
            <w:pPr>
              <w:spacing w:before="156" w:after="156" w:line="400" w:lineRule="exact"/>
              <w:rPr>
                <w:rFonts w:ascii="宋体"/>
                <w:color w:val="auto"/>
                <w:highlight w:val="none"/>
              </w:rPr>
            </w:pPr>
          </w:p>
        </w:tc>
        <w:tc>
          <w:tcPr>
            <w:tcW w:w="1800" w:type="dxa"/>
            <w:shd w:val="clear" w:color="auto" w:fill="FFFFFF"/>
          </w:tcPr>
          <w:p>
            <w:pPr>
              <w:spacing w:before="156" w:after="156" w:line="400" w:lineRule="exact"/>
              <w:rPr>
                <w:rFonts w:ascii="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14" w:type="dxa"/>
            <w:shd w:val="clear" w:color="auto" w:fill="FFFFFF"/>
          </w:tcPr>
          <w:p>
            <w:pPr>
              <w:spacing w:before="156" w:after="156" w:line="400" w:lineRule="exact"/>
              <w:rPr>
                <w:rFonts w:ascii="宋体"/>
                <w:color w:val="auto"/>
                <w:highlight w:val="none"/>
              </w:rPr>
            </w:pPr>
          </w:p>
        </w:tc>
        <w:tc>
          <w:tcPr>
            <w:tcW w:w="2421" w:type="dxa"/>
            <w:shd w:val="clear" w:color="auto" w:fill="FFFFFF"/>
          </w:tcPr>
          <w:p>
            <w:pPr>
              <w:spacing w:before="156" w:after="156" w:line="400" w:lineRule="exact"/>
              <w:rPr>
                <w:rFonts w:ascii="宋体"/>
                <w:color w:val="auto"/>
                <w:highlight w:val="none"/>
              </w:rPr>
            </w:pPr>
          </w:p>
        </w:tc>
        <w:tc>
          <w:tcPr>
            <w:tcW w:w="1926" w:type="dxa"/>
            <w:shd w:val="clear" w:color="auto" w:fill="FFFFFF"/>
          </w:tcPr>
          <w:p>
            <w:pPr>
              <w:spacing w:before="156" w:after="156" w:line="400" w:lineRule="exact"/>
              <w:rPr>
                <w:rFonts w:ascii="宋体"/>
                <w:color w:val="auto"/>
                <w:highlight w:val="none"/>
              </w:rPr>
            </w:pPr>
          </w:p>
        </w:tc>
        <w:tc>
          <w:tcPr>
            <w:tcW w:w="1800" w:type="dxa"/>
            <w:shd w:val="clear" w:color="auto" w:fill="FFFFFF"/>
          </w:tcPr>
          <w:p>
            <w:pPr>
              <w:spacing w:before="156" w:after="156" w:line="400" w:lineRule="exact"/>
              <w:rPr>
                <w:rFonts w:ascii="宋体"/>
                <w:color w:val="auto"/>
                <w:highlight w:val="none"/>
              </w:rPr>
            </w:pPr>
          </w:p>
        </w:tc>
      </w:tr>
    </w:tbl>
    <w:p>
      <w:pPr>
        <w:spacing w:line="360" w:lineRule="auto"/>
        <w:rPr>
          <w:rFonts w:ascii="宋体" w:cs="宋体"/>
          <w:color w:val="auto"/>
          <w:szCs w:val="21"/>
          <w:highlight w:val="none"/>
        </w:rPr>
      </w:pPr>
      <w:r>
        <w:rPr>
          <w:rFonts w:hint="eastAsia" w:ascii="宋体" w:hAnsi="宋体" w:cs="宋体"/>
          <w:color w:val="auto"/>
          <w:szCs w:val="21"/>
          <w:highlight w:val="none"/>
        </w:rPr>
        <w:t>注：投标人必须提供证书或相关证明材料复印件，</w:t>
      </w:r>
      <w:r>
        <w:rPr>
          <w:rFonts w:hint="eastAsia" w:ascii="宋体" w:hAnsi="宋体" w:cs="宋体"/>
          <w:color w:val="auto"/>
          <w:szCs w:val="21"/>
          <w:highlight w:val="none"/>
          <w:lang w:val="en-GB"/>
        </w:rPr>
        <w:t>复印件加盖单位公章</w:t>
      </w:r>
      <w:r>
        <w:rPr>
          <w:rFonts w:hint="eastAsia" w:ascii="宋体" w:hAnsi="宋体" w:cs="宋体"/>
          <w:color w:val="auto"/>
          <w:szCs w:val="21"/>
          <w:highlight w:val="none"/>
        </w:rPr>
        <w:t>。</w:t>
      </w:r>
    </w:p>
    <w:p>
      <w:pPr>
        <w:tabs>
          <w:tab w:val="left" w:pos="540"/>
        </w:tabs>
        <w:spacing w:before="120" w:beforeLines="50" w:line="360" w:lineRule="auto"/>
        <w:rPr>
          <w:rFonts w:ascii="宋体" w:cs="宋体"/>
          <w:b/>
          <w:color w:val="auto"/>
          <w:szCs w:val="21"/>
          <w:highlight w:val="none"/>
        </w:rPr>
      </w:pPr>
      <w:r>
        <w:rPr>
          <w:rFonts w:hint="eastAsia" w:ascii="宋体" w:hAnsi="宋体" w:cs="宋体"/>
          <w:b/>
          <w:color w:val="auto"/>
          <w:szCs w:val="21"/>
          <w:highlight w:val="none"/>
          <w:lang w:val="en-GB"/>
        </w:rPr>
        <w:t>（四）</w:t>
      </w:r>
      <w:r>
        <w:rPr>
          <w:rFonts w:hint="eastAsia" w:ascii="宋体" w:hAnsi="宋体" w:cs="宋体"/>
          <w:b/>
          <w:color w:val="auto"/>
          <w:szCs w:val="21"/>
          <w:highlight w:val="none"/>
        </w:rPr>
        <w:t>投标人目前涉及的诉讼案件或仲裁的资料</w:t>
      </w:r>
    </w:p>
    <w:tbl>
      <w:tblPr>
        <w:tblStyle w:val="55"/>
        <w:tblW w:w="9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2532"/>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531" w:type="dxa"/>
            <w:vAlign w:val="center"/>
          </w:tcPr>
          <w:p>
            <w:pPr>
              <w:tabs>
                <w:tab w:val="left" w:pos="540"/>
              </w:tabs>
              <w:spacing w:line="360" w:lineRule="auto"/>
              <w:jc w:val="center"/>
              <w:rPr>
                <w:rFonts w:ascii="宋体" w:cs="宋体"/>
                <w:b/>
                <w:color w:val="auto"/>
                <w:szCs w:val="21"/>
                <w:highlight w:val="none"/>
              </w:rPr>
            </w:pPr>
            <w:r>
              <w:rPr>
                <w:rFonts w:hint="eastAsia" w:ascii="宋体" w:hAnsi="宋体" w:cs="宋体"/>
                <w:b/>
                <w:color w:val="auto"/>
                <w:szCs w:val="21"/>
                <w:highlight w:val="none"/>
              </w:rPr>
              <w:t>涉及的另一方或另几方</w:t>
            </w:r>
          </w:p>
        </w:tc>
        <w:tc>
          <w:tcPr>
            <w:tcW w:w="2532" w:type="dxa"/>
            <w:vAlign w:val="center"/>
          </w:tcPr>
          <w:p>
            <w:pPr>
              <w:tabs>
                <w:tab w:val="left" w:pos="540"/>
              </w:tabs>
              <w:spacing w:line="360" w:lineRule="auto"/>
              <w:jc w:val="center"/>
              <w:rPr>
                <w:rFonts w:ascii="宋体" w:cs="宋体"/>
                <w:b/>
                <w:color w:val="auto"/>
                <w:szCs w:val="21"/>
                <w:highlight w:val="none"/>
              </w:rPr>
            </w:pPr>
            <w:r>
              <w:rPr>
                <w:rFonts w:hint="eastAsia" w:ascii="宋体" w:hAnsi="宋体" w:cs="宋体"/>
                <w:b/>
                <w:color w:val="auto"/>
                <w:szCs w:val="21"/>
                <w:highlight w:val="none"/>
              </w:rPr>
              <w:t>争端的原因</w:t>
            </w:r>
          </w:p>
        </w:tc>
        <w:tc>
          <w:tcPr>
            <w:tcW w:w="3308" w:type="dxa"/>
            <w:vAlign w:val="center"/>
          </w:tcPr>
          <w:p>
            <w:pPr>
              <w:tabs>
                <w:tab w:val="left" w:pos="540"/>
              </w:tabs>
              <w:spacing w:line="360" w:lineRule="auto"/>
              <w:jc w:val="center"/>
              <w:rPr>
                <w:rFonts w:ascii="宋体" w:cs="宋体"/>
                <w:b/>
                <w:color w:val="auto"/>
                <w:szCs w:val="21"/>
                <w:highlight w:val="none"/>
              </w:rPr>
            </w:pPr>
            <w:r>
              <w:rPr>
                <w:rFonts w:hint="eastAsia" w:ascii="宋体" w:hAnsi="宋体" w:cs="宋体"/>
                <w:b/>
                <w:color w:val="auto"/>
                <w:szCs w:val="21"/>
                <w:highlight w:val="none"/>
              </w:rPr>
              <w:t>涉及的金额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3531" w:type="dxa"/>
            <w:vAlign w:val="center"/>
          </w:tcPr>
          <w:p>
            <w:pPr>
              <w:spacing w:line="360" w:lineRule="auto"/>
              <w:jc w:val="center"/>
              <w:rPr>
                <w:rFonts w:ascii="宋体" w:cs="宋体"/>
                <w:color w:val="auto"/>
                <w:szCs w:val="21"/>
                <w:highlight w:val="none"/>
              </w:rPr>
            </w:pPr>
          </w:p>
        </w:tc>
        <w:tc>
          <w:tcPr>
            <w:tcW w:w="2532" w:type="dxa"/>
            <w:vAlign w:val="center"/>
          </w:tcPr>
          <w:p>
            <w:pPr>
              <w:spacing w:line="360" w:lineRule="auto"/>
              <w:jc w:val="center"/>
              <w:rPr>
                <w:rFonts w:ascii="宋体" w:cs="宋体"/>
                <w:color w:val="auto"/>
                <w:szCs w:val="21"/>
                <w:highlight w:val="none"/>
              </w:rPr>
            </w:pPr>
          </w:p>
        </w:tc>
        <w:tc>
          <w:tcPr>
            <w:tcW w:w="3308" w:type="dxa"/>
            <w:vAlign w:val="center"/>
          </w:tcPr>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rPr>
                <w:rFonts w:ascii="宋体" w:cs="宋体"/>
                <w:color w:val="auto"/>
                <w:szCs w:val="21"/>
                <w:highlight w:val="none"/>
              </w:rPr>
            </w:pPr>
          </w:p>
        </w:tc>
      </w:tr>
    </w:tbl>
    <w:p>
      <w:pPr>
        <w:tabs>
          <w:tab w:val="left" w:pos="180"/>
        </w:tabs>
        <w:spacing w:before="100" w:beforeAutospacing="1" w:line="360" w:lineRule="auto"/>
        <w:rPr>
          <w:rFonts w:ascii="宋体" w:cs="宋体"/>
          <w:b/>
          <w:color w:val="auto"/>
          <w:szCs w:val="21"/>
          <w:highlight w:val="none"/>
          <w:lang w:val="en-GB"/>
        </w:rPr>
      </w:pPr>
      <w:r>
        <w:rPr>
          <w:rFonts w:hint="eastAsia" w:ascii="宋体" w:hAnsi="宋体" w:cs="宋体"/>
          <w:b/>
          <w:color w:val="auto"/>
          <w:szCs w:val="21"/>
          <w:highlight w:val="none"/>
          <w:lang w:val="en-GB"/>
        </w:rPr>
        <w:t>（五）其它重要事项说明及承诺</w:t>
      </w:r>
    </w:p>
    <w:p>
      <w:pPr>
        <w:tabs>
          <w:tab w:val="left" w:pos="180"/>
        </w:tabs>
        <w:spacing w:line="360" w:lineRule="auto"/>
        <w:rPr>
          <w:rFonts w:asci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请扼要叙述</w:t>
      </w:r>
      <w:r>
        <w:rPr>
          <w:rFonts w:ascii="宋体" w:hAnsi="宋体" w:cs="宋体"/>
          <w:color w:val="auto"/>
          <w:szCs w:val="21"/>
          <w:highlight w:val="none"/>
        </w:rPr>
        <w:t>)</w:t>
      </w:r>
    </w:p>
    <w:p>
      <w:pPr>
        <w:adjustRightInd w:val="0"/>
        <w:snapToGrid w:val="0"/>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投标人法定代表人（或法定代表人授权代表）签字：</w:t>
      </w:r>
    </w:p>
    <w:p>
      <w:pPr>
        <w:spacing w:line="360" w:lineRule="auto"/>
        <w:rPr>
          <w:rFonts w:ascii="宋体" w:cs="宋体"/>
          <w:color w:val="auto"/>
          <w:szCs w:val="21"/>
          <w:highlight w:val="none"/>
        </w:rPr>
      </w:pPr>
      <w:r>
        <w:rPr>
          <w:rFonts w:hint="eastAsia" w:ascii="宋体" w:hAnsi="宋体" w:cs="宋体"/>
          <w:color w:val="auto"/>
          <w:szCs w:val="21"/>
          <w:highlight w:val="none"/>
        </w:rPr>
        <w:t>投标人名称（盖章）：</w:t>
      </w:r>
    </w:p>
    <w:p>
      <w:pPr>
        <w:spacing w:line="360" w:lineRule="auto"/>
        <w:rPr>
          <w:rFonts w:hAnsi="宋体"/>
          <w:color w:val="auto"/>
          <w:szCs w:val="21"/>
          <w:highlight w:val="none"/>
        </w:rPr>
      </w:pPr>
      <w:r>
        <w:rPr>
          <w:rFonts w:hint="eastAsia" w:ascii="宋体" w:hAnsi="宋体" w:cs="宋体"/>
          <w:color w:val="auto"/>
          <w:szCs w:val="21"/>
          <w:highlight w:val="none"/>
        </w:rPr>
        <w:t>日期：年月日</w:t>
      </w:r>
      <w:r>
        <w:rPr>
          <w:color w:val="auto"/>
          <w:highlight w:val="none"/>
        </w:rPr>
        <w:br w:type="page"/>
      </w:r>
      <w:r>
        <w:rPr>
          <w:b/>
          <w:bCs/>
          <w:color w:val="auto"/>
          <w:highlight w:val="none"/>
        </w:rPr>
        <w:t>4.2</w:t>
      </w:r>
      <w:r>
        <w:rPr>
          <w:rFonts w:hint="eastAsia" w:hAnsi="宋体"/>
          <w:b/>
          <w:color w:val="auto"/>
          <w:sz w:val="24"/>
          <w:szCs w:val="24"/>
          <w:highlight w:val="none"/>
        </w:rPr>
        <w:t>商务条</w:t>
      </w:r>
      <w:r>
        <w:rPr>
          <w:rFonts w:hint="eastAsia"/>
          <w:b/>
          <w:color w:val="auto"/>
          <w:sz w:val="24"/>
          <w:szCs w:val="24"/>
          <w:highlight w:val="none"/>
        </w:rPr>
        <w:t>款响应表</w:t>
      </w:r>
    </w:p>
    <w:p>
      <w:pPr>
        <w:rPr>
          <w:rFonts w:ascii="宋体"/>
          <w:color w:val="auto"/>
          <w:szCs w:val="21"/>
          <w:highlight w:val="none"/>
        </w:rPr>
      </w:pPr>
    </w:p>
    <w:tbl>
      <w:tblPr>
        <w:tblStyle w:val="55"/>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5"/>
        <w:gridCol w:w="804"/>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5" w:type="dxa"/>
            <w:vAlign w:val="center"/>
          </w:tcPr>
          <w:p>
            <w:pPr>
              <w:jc w:val="center"/>
              <w:rPr>
                <w:rFonts w:ascii="宋体"/>
                <w:bCs/>
                <w:color w:val="auto"/>
                <w:szCs w:val="21"/>
                <w:highlight w:val="none"/>
              </w:rPr>
            </w:pPr>
            <w:r>
              <w:rPr>
                <w:rFonts w:hint="eastAsia" w:ascii="宋体" w:hAnsi="宋体"/>
                <w:bCs/>
                <w:color w:val="auto"/>
                <w:szCs w:val="21"/>
                <w:highlight w:val="none"/>
              </w:rPr>
              <w:t>序号</w:t>
            </w:r>
          </w:p>
        </w:tc>
        <w:tc>
          <w:tcPr>
            <w:tcW w:w="6185" w:type="dxa"/>
            <w:vAlign w:val="center"/>
          </w:tcPr>
          <w:p>
            <w:pPr>
              <w:jc w:val="center"/>
              <w:rPr>
                <w:rFonts w:ascii="宋体"/>
                <w:color w:val="auto"/>
                <w:szCs w:val="21"/>
                <w:highlight w:val="none"/>
              </w:rPr>
            </w:pPr>
            <w:r>
              <w:rPr>
                <w:rFonts w:hint="eastAsia" w:ascii="宋体" w:hAnsi="宋体"/>
                <w:color w:val="auto"/>
                <w:szCs w:val="21"/>
                <w:highlight w:val="none"/>
              </w:rPr>
              <w:t>商务条款要求</w:t>
            </w:r>
          </w:p>
        </w:tc>
        <w:tc>
          <w:tcPr>
            <w:tcW w:w="804" w:type="dxa"/>
            <w:vAlign w:val="center"/>
          </w:tcPr>
          <w:p>
            <w:pPr>
              <w:jc w:val="center"/>
              <w:rPr>
                <w:rFonts w:ascii="宋体"/>
                <w:bCs/>
                <w:color w:val="auto"/>
                <w:szCs w:val="21"/>
                <w:highlight w:val="none"/>
              </w:rPr>
            </w:pPr>
            <w:r>
              <w:rPr>
                <w:rFonts w:hint="eastAsia" w:ascii="宋体" w:hAnsi="宋体"/>
                <w:bCs/>
                <w:color w:val="auto"/>
                <w:szCs w:val="21"/>
                <w:highlight w:val="none"/>
              </w:rPr>
              <w:t>是否响应</w:t>
            </w:r>
          </w:p>
        </w:tc>
        <w:tc>
          <w:tcPr>
            <w:tcW w:w="2141" w:type="dxa"/>
            <w:vAlign w:val="center"/>
          </w:tcPr>
          <w:p>
            <w:pPr>
              <w:jc w:val="center"/>
              <w:rPr>
                <w:rFonts w:ascii="宋体"/>
                <w:bCs/>
                <w:color w:val="auto"/>
                <w:szCs w:val="21"/>
                <w:highlight w:val="none"/>
              </w:rPr>
            </w:pPr>
            <w:r>
              <w:rPr>
                <w:rFonts w:hint="eastAsia" w:ascii="宋体" w:hAnsi="宋体"/>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25" w:type="dxa"/>
            <w:vAlign w:val="center"/>
          </w:tcPr>
          <w:p>
            <w:pPr>
              <w:jc w:val="center"/>
              <w:rPr>
                <w:rFonts w:ascii="宋体"/>
                <w:color w:val="auto"/>
                <w:szCs w:val="21"/>
                <w:highlight w:val="none"/>
              </w:rPr>
            </w:pPr>
            <w:r>
              <w:rPr>
                <w:rFonts w:ascii="宋体" w:hAnsi="宋体"/>
                <w:color w:val="auto"/>
                <w:szCs w:val="21"/>
                <w:highlight w:val="none"/>
              </w:rPr>
              <w:t>1</w:t>
            </w:r>
          </w:p>
        </w:tc>
        <w:tc>
          <w:tcPr>
            <w:tcW w:w="6185" w:type="dxa"/>
            <w:vAlign w:val="center"/>
          </w:tcPr>
          <w:p>
            <w:pPr>
              <w:rPr>
                <w:rFonts w:ascii="宋体"/>
                <w:color w:val="auto"/>
                <w:szCs w:val="21"/>
                <w:highlight w:val="none"/>
              </w:rPr>
            </w:pPr>
            <w:r>
              <w:rPr>
                <w:rFonts w:hint="eastAsia" w:ascii="宋体" w:hAnsi="宋体"/>
                <w:color w:val="auto"/>
                <w:szCs w:val="21"/>
                <w:highlight w:val="none"/>
              </w:rPr>
              <w:t>完全理解并接受合同条款要求</w:t>
            </w:r>
          </w:p>
        </w:tc>
        <w:tc>
          <w:tcPr>
            <w:tcW w:w="804" w:type="dxa"/>
            <w:vAlign w:val="center"/>
          </w:tcPr>
          <w:p>
            <w:pPr>
              <w:pStyle w:val="147"/>
              <w:keepNext w:val="0"/>
              <w:adjustRightInd/>
              <w:spacing w:before="0" w:after="0" w:line="240" w:lineRule="auto"/>
              <w:rPr>
                <w:rFonts w:ascii="宋体"/>
                <w:color w:val="auto"/>
                <w:spacing w:val="0"/>
                <w:kern w:val="2"/>
                <w:sz w:val="21"/>
                <w:szCs w:val="21"/>
                <w:highlight w:val="none"/>
              </w:rPr>
            </w:pPr>
          </w:p>
        </w:tc>
        <w:tc>
          <w:tcPr>
            <w:tcW w:w="2141"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25" w:type="dxa"/>
            <w:vAlign w:val="center"/>
          </w:tcPr>
          <w:p>
            <w:pPr>
              <w:jc w:val="center"/>
              <w:rPr>
                <w:rFonts w:ascii="宋体"/>
                <w:color w:val="auto"/>
                <w:szCs w:val="21"/>
                <w:highlight w:val="none"/>
              </w:rPr>
            </w:pPr>
            <w:r>
              <w:rPr>
                <w:rFonts w:ascii="宋体" w:hAnsi="宋体"/>
                <w:color w:val="auto"/>
                <w:szCs w:val="21"/>
                <w:highlight w:val="none"/>
              </w:rPr>
              <w:t>2</w:t>
            </w:r>
          </w:p>
        </w:tc>
        <w:tc>
          <w:tcPr>
            <w:tcW w:w="6185" w:type="dxa"/>
            <w:vAlign w:val="center"/>
          </w:tcPr>
          <w:p>
            <w:pPr>
              <w:rPr>
                <w:rFonts w:ascii="宋体"/>
                <w:color w:val="auto"/>
                <w:szCs w:val="21"/>
                <w:highlight w:val="none"/>
              </w:rPr>
            </w:pPr>
            <w:r>
              <w:rPr>
                <w:rFonts w:hint="eastAsia" w:ascii="宋体" w:hAnsi="宋体"/>
                <w:color w:val="auto"/>
                <w:szCs w:val="21"/>
                <w:highlight w:val="none"/>
              </w:rPr>
              <w:t>完全理解并接受对合格投标人、合格的货物要求</w:t>
            </w:r>
          </w:p>
        </w:tc>
        <w:tc>
          <w:tcPr>
            <w:tcW w:w="804" w:type="dxa"/>
            <w:vAlign w:val="center"/>
          </w:tcPr>
          <w:p>
            <w:pPr>
              <w:pStyle w:val="147"/>
              <w:keepNext w:val="0"/>
              <w:adjustRightInd/>
              <w:spacing w:before="0" w:after="0" w:line="240" w:lineRule="auto"/>
              <w:rPr>
                <w:rFonts w:ascii="宋体"/>
                <w:color w:val="auto"/>
                <w:spacing w:val="0"/>
                <w:kern w:val="2"/>
                <w:sz w:val="21"/>
                <w:szCs w:val="21"/>
                <w:highlight w:val="none"/>
              </w:rPr>
            </w:pPr>
          </w:p>
        </w:tc>
        <w:tc>
          <w:tcPr>
            <w:tcW w:w="2141"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25" w:type="dxa"/>
            <w:vAlign w:val="center"/>
          </w:tcPr>
          <w:p>
            <w:pPr>
              <w:jc w:val="center"/>
              <w:rPr>
                <w:rFonts w:ascii="宋体"/>
                <w:color w:val="auto"/>
                <w:szCs w:val="21"/>
                <w:highlight w:val="none"/>
              </w:rPr>
            </w:pPr>
            <w:r>
              <w:rPr>
                <w:rFonts w:ascii="宋体" w:hAnsi="宋体"/>
                <w:color w:val="auto"/>
                <w:szCs w:val="21"/>
                <w:highlight w:val="none"/>
              </w:rPr>
              <w:t>3</w:t>
            </w:r>
          </w:p>
        </w:tc>
        <w:tc>
          <w:tcPr>
            <w:tcW w:w="6185" w:type="dxa"/>
            <w:vAlign w:val="center"/>
          </w:tcPr>
          <w:p>
            <w:pPr>
              <w:rPr>
                <w:rFonts w:ascii="宋体"/>
                <w:color w:val="auto"/>
                <w:szCs w:val="21"/>
                <w:highlight w:val="none"/>
              </w:rPr>
            </w:pPr>
            <w:r>
              <w:rPr>
                <w:rFonts w:hint="eastAsia" w:ascii="宋体" w:hAnsi="宋体"/>
                <w:color w:val="auto"/>
                <w:szCs w:val="21"/>
                <w:highlight w:val="none"/>
              </w:rPr>
              <w:t>完全理解并接受对投标人的各项须知、规约要求和责任义务</w:t>
            </w:r>
          </w:p>
        </w:tc>
        <w:tc>
          <w:tcPr>
            <w:tcW w:w="804" w:type="dxa"/>
            <w:vAlign w:val="center"/>
          </w:tcPr>
          <w:p>
            <w:pPr>
              <w:jc w:val="center"/>
              <w:rPr>
                <w:rFonts w:ascii="宋体"/>
                <w:color w:val="auto"/>
                <w:szCs w:val="21"/>
                <w:highlight w:val="none"/>
              </w:rPr>
            </w:pPr>
          </w:p>
        </w:tc>
        <w:tc>
          <w:tcPr>
            <w:tcW w:w="2141" w:type="dxa"/>
            <w:vAlign w:val="center"/>
          </w:tcPr>
          <w:p>
            <w:pPr>
              <w:ind w:right="-35"/>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725" w:type="dxa"/>
            <w:vAlign w:val="center"/>
          </w:tcPr>
          <w:p>
            <w:pPr>
              <w:jc w:val="center"/>
              <w:rPr>
                <w:rFonts w:ascii="宋体"/>
                <w:color w:val="auto"/>
                <w:szCs w:val="21"/>
                <w:highlight w:val="none"/>
              </w:rPr>
            </w:pPr>
            <w:r>
              <w:rPr>
                <w:rFonts w:ascii="宋体" w:hAnsi="宋体"/>
                <w:color w:val="auto"/>
                <w:szCs w:val="21"/>
                <w:highlight w:val="none"/>
              </w:rPr>
              <w:t>4</w:t>
            </w:r>
          </w:p>
        </w:tc>
        <w:tc>
          <w:tcPr>
            <w:tcW w:w="6185" w:type="dxa"/>
            <w:vAlign w:val="center"/>
          </w:tcPr>
          <w:p>
            <w:pPr>
              <w:rPr>
                <w:rFonts w:ascii="宋体"/>
                <w:color w:val="auto"/>
                <w:szCs w:val="21"/>
                <w:highlight w:val="none"/>
              </w:rPr>
            </w:pPr>
            <w:r>
              <w:rPr>
                <w:rFonts w:hint="eastAsia" w:ascii="宋体" w:hAnsi="宋体"/>
                <w:color w:val="auto"/>
                <w:szCs w:val="21"/>
                <w:highlight w:val="none"/>
              </w:rPr>
              <w:t>投标有效期：投标有效期为自递交投标文件起至确定正式中标人止不少于</w:t>
            </w:r>
            <w:r>
              <w:rPr>
                <w:rFonts w:ascii="宋体" w:hAnsi="宋体"/>
                <w:color w:val="auto"/>
                <w:szCs w:val="21"/>
                <w:highlight w:val="none"/>
                <w:u w:val="single"/>
              </w:rPr>
              <w:t xml:space="preserve"> 90 </w:t>
            </w:r>
            <w:r>
              <w:rPr>
                <w:rFonts w:hint="eastAsia" w:ascii="宋体" w:hAnsi="宋体"/>
                <w:color w:val="auto"/>
                <w:szCs w:val="21"/>
                <w:highlight w:val="none"/>
              </w:rPr>
              <w:t>天，中标单位有效期至项目验收之日</w:t>
            </w:r>
          </w:p>
        </w:tc>
        <w:tc>
          <w:tcPr>
            <w:tcW w:w="804" w:type="dxa"/>
            <w:vAlign w:val="center"/>
          </w:tcPr>
          <w:p>
            <w:pPr>
              <w:jc w:val="center"/>
              <w:rPr>
                <w:rFonts w:ascii="宋体"/>
                <w:color w:val="auto"/>
                <w:szCs w:val="21"/>
                <w:highlight w:val="none"/>
              </w:rPr>
            </w:pPr>
          </w:p>
        </w:tc>
        <w:tc>
          <w:tcPr>
            <w:tcW w:w="2141" w:type="dxa"/>
            <w:vAlign w:val="center"/>
          </w:tcPr>
          <w:p>
            <w:pPr>
              <w:ind w:right="-35"/>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25" w:type="dxa"/>
            <w:vAlign w:val="center"/>
          </w:tcPr>
          <w:p>
            <w:pPr>
              <w:jc w:val="center"/>
              <w:rPr>
                <w:rFonts w:ascii="宋体"/>
                <w:color w:val="auto"/>
                <w:szCs w:val="21"/>
                <w:highlight w:val="none"/>
              </w:rPr>
            </w:pPr>
            <w:r>
              <w:rPr>
                <w:rFonts w:ascii="宋体" w:hAnsi="宋体"/>
                <w:color w:val="auto"/>
                <w:szCs w:val="21"/>
                <w:highlight w:val="none"/>
              </w:rPr>
              <w:t>5</w:t>
            </w:r>
          </w:p>
        </w:tc>
        <w:tc>
          <w:tcPr>
            <w:tcW w:w="6185" w:type="dxa"/>
            <w:vAlign w:val="center"/>
          </w:tcPr>
          <w:p>
            <w:pPr>
              <w:rPr>
                <w:rFonts w:ascii="宋体"/>
                <w:color w:val="auto"/>
                <w:szCs w:val="21"/>
                <w:highlight w:val="none"/>
              </w:rPr>
            </w:pPr>
            <w:r>
              <w:rPr>
                <w:rFonts w:hint="eastAsia" w:ascii="宋体" w:hAnsi="宋体"/>
                <w:color w:val="auto"/>
                <w:szCs w:val="21"/>
                <w:highlight w:val="none"/>
              </w:rPr>
              <w:t>报价内容均涵盖报价要求之一切费用和伴随服务</w:t>
            </w:r>
          </w:p>
        </w:tc>
        <w:tc>
          <w:tcPr>
            <w:tcW w:w="804" w:type="dxa"/>
            <w:vAlign w:val="center"/>
          </w:tcPr>
          <w:p>
            <w:pPr>
              <w:jc w:val="center"/>
              <w:rPr>
                <w:rFonts w:ascii="宋体"/>
                <w:color w:val="auto"/>
                <w:szCs w:val="21"/>
                <w:highlight w:val="none"/>
              </w:rPr>
            </w:pPr>
          </w:p>
        </w:tc>
        <w:tc>
          <w:tcPr>
            <w:tcW w:w="2141" w:type="dxa"/>
            <w:vAlign w:val="center"/>
          </w:tcPr>
          <w:p>
            <w:pPr>
              <w:pStyle w:val="147"/>
              <w:keepNext w:val="0"/>
              <w:adjustRightInd/>
              <w:spacing w:before="0" w:after="0" w:line="240" w:lineRule="auto"/>
              <w:rPr>
                <w:rFonts w:ascii="宋体"/>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25" w:type="dxa"/>
            <w:vAlign w:val="center"/>
          </w:tcPr>
          <w:p>
            <w:pPr>
              <w:jc w:val="center"/>
              <w:rPr>
                <w:rFonts w:ascii="宋体"/>
                <w:color w:val="auto"/>
                <w:szCs w:val="21"/>
                <w:highlight w:val="none"/>
              </w:rPr>
            </w:pPr>
            <w:r>
              <w:rPr>
                <w:rFonts w:ascii="宋体" w:hAnsi="宋体"/>
                <w:color w:val="auto"/>
                <w:szCs w:val="21"/>
                <w:highlight w:val="none"/>
              </w:rPr>
              <w:t>6</w:t>
            </w:r>
          </w:p>
        </w:tc>
        <w:tc>
          <w:tcPr>
            <w:tcW w:w="6185" w:type="dxa"/>
            <w:vAlign w:val="center"/>
          </w:tcPr>
          <w:p>
            <w:pPr>
              <w:rPr>
                <w:rFonts w:ascii="宋体"/>
                <w:color w:val="auto"/>
                <w:szCs w:val="21"/>
                <w:highlight w:val="none"/>
              </w:rPr>
            </w:pPr>
            <w:r>
              <w:rPr>
                <w:rFonts w:hint="eastAsia" w:ascii="宋体" w:hAnsi="宋体"/>
                <w:color w:val="auto"/>
                <w:szCs w:val="21"/>
                <w:highlight w:val="none"/>
              </w:rPr>
              <w:t>所提供的投标报价按招标文件要求计算且未超过采购预算</w:t>
            </w:r>
          </w:p>
        </w:tc>
        <w:tc>
          <w:tcPr>
            <w:tcW w:w="804" w:type="dxa"/>
            <w:vAlign w:val="center"/>
          </w:tcPr>
          <w:p>
            <w:pPr>
              <w:jc w:val="center"/>
              <w:rPr>
                <w:rFonts w:ascii="宋体"/>
                <w:color w:val="auto"/>
                <w:szCs w:val="21"/>
                <w:highlight w:val="none"/>
              </w:rPr>
            </w:pPr>
          </w:p>
        </w:tc>
        <w:tc>
          <w:tcPr>
            <w:tcW w:w="2141" w:type="dxa"/>
            <w:vAlign w:val="center"/>
          </w:tcPr>
          <w:p>
            <w:pPr>
              <w:pStyle w:val="147"/>
              <w:keepNext w:val="0"/>
              <w:adjustRightInd/>
              <w:spacing w:before="0" w:after="0" w:line="240" w:lineRule="auto"/>
              <w:rPr>
                <w:rFonts w:ascii="宋体"/>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5" w:type="dxa"/>
            <w:vAlign w:val="center"/>
          </w:tcPr>
          <w:p>
            <w:pPr>
              <w:jc w:val="center"/>
              <w:rPr>
                <w:rFonts w:ascii="宋体"/>
                <w:color w:val="auto"/>
                <w:szCs w:val="21"/>
                <w:highlight w:val="none"/>
              </w:rPr>
            </w:pPr>
            <w:r>
              <w:rPr>
                <w:rFonts w:ascii="宋体" w:hAnsi="宋体"/>
                <w:color w:val="auto"/>
                <w:szCs w:val="21"/>
                <w:highlight w:val="none"/>
              </w:rPr>
              <w:t>7</w:t>
            </w:r>
          </w:p>
        </w:tc>
        <w:tc>
          <w:tcPr>
            <w:tcW w:w="6185" w:type="dxa"/>
            <w:vAlign w:val="center"/>
          </w:tcPr>
          <w:p>
            <w:pPr>
              <w:rPr>
                <w:rFonts w:ascii="宋体"/>
                <w:color w:val="auto"/>
                <w:szCs w:val="21"/>
                <w:highlight w:val="none"/>
              </w:rPr>
            </w:pPr>
            <w:r>
              <w:rPr>
                <w:rFonts w:hint="eastAsia" w:ascii="宋体" w:hAnsi="宋体"/>
                <w:color w:val="auto"/>
                <w:szCs w:val="21"/>
                <w:highlight w:val="none"/>
              </w:rPr>
              <w:t>同意接受合同范本所列述的各项条款</w:t>
            </w:r>
          </w:p>
        </w:tc>
        <w:tc>
          <w:tcPr>
            <w:tcW w:w="804" w:type="dxa"/>
            <w:vAlign w:val="center"/>
          </w:tcPr>
          <w:p>
            <w:pPr>
              <w:jc w:val="center"/>
              <w:rPr>
                <w:rFonts w:ascii="宋体"/>
                <w:color w:val="auto"/>
                <w:szCs w:val="21"/>
                <w:highlight w:val="none"/>
              </w:rPr>
            </w:pPr>
          </w:p>
        </w:tc>
        <w:tc>
          <w:tcPr>
            <w:tcW w:w="2141"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725" w:type="dxa"/>
            <w:vAlign w:val="center"/>
          </w:tcPr>
          <w:p>
            <w:pPr>
              <w:jc w:val="center"/>
              <w:rPr>
                <w:rFonts w:ascii="宋体"/>
                <w:color w:val="auto"/>
                <w:szCs w:val="21"/>
                <w:highlight w:val="none"/>
              </w:rPr>
            </w:pPr>
            <w:r>
              <w:rPr>
                <w:rFonts w:ascii="宋体" w:hAnsi="宋体"/>
                <w:color w:val="auto"/>
                <w:szCs w:val="21"/>
                <w:highlight w:val="none"/>
              </w:rPr>
              <w:t>8</w:t>
            </w:r>
          </w:p>
        </w:tc>
        <w:tc>
          <w:tcPr>
            <w:tcW w:w="6185" w:type="dxa"/>
            <w:vAlign w:val="center"/>
          </w:tcPr>
          <w:p>
            <w:pPr>
              <w:rPr>
                <w:rFonts w:ascii="宋体"/>
                <w:color w:val="auto"/>
                <w:szCs w:val="21"/>
                <w:highlight w:val="none"/>
              </w:rPr>
            </w:pPr>
            <w:r>
              <w:rPr>
                <w:rFonts w:hint="eastAsia" w:ascii="宋体" w:hAnsi="宋体"/>
                <w:color w:val="auto"/>
                <w:szCs w:val="21"/>
                <w:highlight w:val="none"/>
              </w:rPr>
              <w:t>同意按本项目要求缴付相关款项</w:t>
            </w:r>
          </w:p>
        </w:tc>
        <w:tc>
          <w:tcPr>
            <w:tcW w:w="804" w:type="dxa"/>
            <w:vAlign w:val="center"/>
          </w:tcPr>
          <w:p>
            <w:pPr>
              <w:jc w:val="center"/>
              <w:rPr>
                <w:rFonts w:ascii="宋体"/>
                <w:color w:val="auto"/>
                <w:szCs w:val="21"/>
                <w:highlight w:val="none"/>
                <w:lang w:val="en-GB"/>
              </w:rPr>
            </w:pPr>
          </w:p>
        </w:tc>
        <w:tc>
          <w:tcPr>
            <w:tcW w:w="2141"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725" w:type="dxa"/>
            <w:vAlign w:val="center"/>
          </w:tcPr>
          <w:p>
            <w:pPr>
              <w:jc w:val="center"/>
              <w:rPr>
                <w:rFonts w:ascii="宋体"/>
                <w:color w:val="auto"/>
                <w:szCs w:val="21"/>
                <w:highlight w:val="none"/>
              </w:rPr>
            </w:pPr>
            <w:r>
              <w:rPr>
                <w:rFonts w:ascii="宋体" w:hAnsi="宋体"/>
                <w:color w:val="auto"/>
                <w:szCs w:val="21"/>
                <w:highlight w:val="none"/>
              </w:rPr>
              <w:t>9</w:t>
            </w:r>
          </w:p>
        </w:tc>
        <w:tc>
          <w:tcPr>
            <w:tcW w:w="6185" w:type="dxa"/>
            <w:vAlign w:val="center"/>
          </w:tcPr>
          <w:p>
            <w:pPr>
              <w:pStyle w:val="38"/>
              <w:rPr>
                <w:rFonts w:ascii="宋体"/>
                <w:color w:val="auto"/>
                <w:szCs w:val="21"/>
                <w:highlight w:val="none"/>
              </w:rPr>
            </w:pPr>
            <w:r>
              <w:rPr>
                <w:rFonts w:hint="eastAsia" w:ascii="宋体" w:hAnsi="宋体"/>
                <w:color w:val="auto"/>
                <w:kern w:val="0"/>
                <w:szCs w:val="21"/>
                <w:highlight w:val="none"/>
              </w:rPr>
              <w:t>同意采购方以任何形式对我方投标文件内容的真实性和有效性进行审查、验证</w:t>
            </w:r>
          </w:p>
        </w:tc>
        <w:tc>
          <w:tcPr>
            <w:tcW w:w="804" w:type="dxa"/>
            <w:vAlign w:val="center"/>
          </w:tcPr>
          <w:p>
            <w:pPr>
              <w:jc w:val="center"/>
              <w:rPr>
                <w:rFonts w:ascii="宋体"/>
                <w:color w:val="auto"/>
                <w:szCs w:val="21"/>
                <w:highlight w:val="none"/>
              </w:rPr>
            </w:pPr>
          </w:p>
        </w:tc>
        <w:tc>
          <w:tcPr>
            <w:tcW w:w="2141" w:type="dxa"/>
            <w:vAlign w:val="center"/>
          </w:tcPr>
          <w:p>
            <w:pPr>
              <w:pStyle w:val="147"/>
              <w:keepNext w:val="0"/>
              <w:adjustRightInd/>
              <w:spacing w:before="0" w:after="0" w:line="240" w:lineRule="auto"/>
              <w:rPr>
                <w:rFonts w:ascii="宋体"/>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5" w:type="dxa"/>
            <w:vAlign w:val="center"/>
          </w:tcPr>
          <w:p>
            <w:pPr>
              <w:jc w:val="center"/>
              <w:rPr>
                <w:rFonts w:ascii="宋体"/>
                <w:color w:val="auto"/>
                <w:szCs w:val="21"/>
                <w:highlight w:val="none"/>
              </w:rPr>
            </w:pPr>
            <w:r>
              <w:rPr>
                <w:rFonts w:ascii="宋体"/>
                <w:color w:val="auto"/>
                <w:szCs w:val="21"/>
                <w:highlight w:val="none"/>
              </w:rPr>
              <w:t>...</w:t>
            </w:r>
          </w:p>
        </w:tc>
        <w:tc>
          <w:tcPr>
            <w:tcW w:w="6185" w:type="dxa"/>
            <w:vAlign w:val="center"/>
          </w:tcPr>
          <w:p>
            <w:pPr>
              <w:rPr>
                <w:rFonts w:ascii="宋体"/>
                <w:color w:val="auto"/>
                <w:szCs w:val="21"/>
                <w:highlight w:val="none"/>
              </w:rPr>
            </w:pPr>
            <w:r>
              <w:rPr>
                <w:rFonts w:hint="eastAsia" w:ascii="宋体" w:hAnsi="宋体"/>
                <w:color w:val="auto"/>
                <w:szCs w:val="21"/>
                <w:highlight w:val="none"/>
              </w:rPr>
              <w:t>其它商务条款偏离说明：</w:t>
            </w:r>
          </w:p>
        </w:tc>
        <w:tc>
          <w:tcPr>
            <w:tcW w:w="804" w:type="dxa"/>
            <w:vAlign w:val="center"/>
          </w:tcPr>
          <w:p>
            <w:pPr>
              <w:jc w:val="center"/>
              <w:rPr>
                <w:rFonts w:ascii="宋体"/>
                <w:color w:val="auto"/>
                <w:szCs w:val="21"/>
                <w:highlight w:val="none"/>
              </w:rPr>
            </w:pPr>
          </w:p>
        </w:tc>
        <w:tc>
          <w:tcPr>
            <w:tcW w:w="2141" w:type="dxa"/>
            <w:vAlign w:val="center"/>
          </w:tcPr>
          <w:p>
            <w:pPr>
              <w:pStyle w:val="147"/>
              <w:keepNext w:val="0"/>
              <w:adjustRightInd/>
              <w:spacing w:before="0" w:after="0" w:line="240" w:lineRule="auto"/>
              <w:rPr>
                <w:rFonts w:ascii="宋体"/>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5" w:type="dxa"/>
            <w:vAlign w:val="center"/>
          </w:tcPr>
          <w:p>
            <w:pPr>
              <w:jc w:val="center"/>
              <w:rPr>
                <w:rFonts w:ascii="宋体"/>
                <w:color w:val="auto"/>
                <w:szCs w:val="21"/>
                <w:highlight w:val="none"/>
              </w:rPr>
            </w:pPr>
          </w:p>
        </w:tc>
        <w:tc>
          <w:tcPr>
            <w:tcW w:w="6185" w:type="dxa"/>
            <w:vAlign w:val="center"/>
          </w:tcPr>
          <w:p>
            <w:pPr>
              <w:pStyle w:val="38"/>
              <w:rPr>
                <w:rFonts w:ascii="宋体"/>
                <w:color w:val="auto"/>
                <w:kern w:val="0"/>
                <w:szCs w:val="21"/>
                <w:highlight w:val="none"/>
              </w:rPr>
            </w:pPr>
          </w:p>
        </w:tc>
        <w:tc>
          <w:tcPr>
            <w:tcW w:w="804" w:type="dxa"/>
            <w:vAlign w:val="center"/>
          </w:tcPr>
          <w:p>
            <w:pPr>
              <w:pStyle w:val="366"/>
              <w:rPr>
                <w:rFonts w:ascii="宋体"/>
                <w:b w:val="0"/>
                <w:color w:val="auto"/>
                <w:sz w:val="21"/>
                <w:highlight w:val="none"/>
              </w:rPr>
            </w:pPr>
          </w:p>
        </w:tc>
        <w:tc>
          <w:tcPr>
            <w:tcW w:w="2141" w:type="dxa"/>
            <w:vAlign w:val="center"/>
          </w:tcPr>
          <w:p>
            <w:pPr>
              <w:pStyle w:val="147"/>
              <w:keepNext w:val="0"/>
              <w:adjustRightInd/>
              <w:spacing w:before="0" w:after="0" w:line="240" w:lineRule="auto"/>
              <w:jc w:val="both"/>
              <w:rPr>
                <w:rFonts w:ascii="宋体"/>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5" w:type="dxa"/>
            <w:vAlign w:val="center"/>
          </w:tcPr>
          <w:p>
            <w:pPr>
              <w:jc w:val="center"/>
              <w:rPr>
                <w:rFonts w:ascii="宋体"/>
                <w:color w:val="auto"/>
                <w:szCs w:val="21"/>
                <w:highlight w:val="none"/>
              </w:rPr>
            </w:pPr>
          </w:p>
        </w:tc>
        <w:tc>
          <w:tcPr>
            <w:tcW w:w="6185" w:type="dxa"/>
            <w:vAlign w:val="center"/>
          </w:tcPr>
          <w:p>
            <w:pPr>
              <w:pStyle w:val="38"/>
              <w:rPr>
                <w:color w:val="auto"/>
                <w:szCs w:val="21"/>
                <w:highlight w:val="none"/>
              </w:rPr>
            </w:pPr>
          </w:p>
        </w:tc>
        <w:tc>
          <w:tcPr>
            <w:tcW w:w="804" w:type="dxa"/>
            <w:vAlign w:val="center"/>
          </w:tcPr>
          <w:p>
            <w:pPr>
              <w:pStyle w:val="331"/>
              <w:rPr>
                <w:rFonts w:ascii="宋体" w:cs="Calibri"/>
                <w:b/>
                <w:color w:val="auto"/>
                <w:kern w:val="2"/>
                <w:sz w:val="21"/>
                <w:szCs w:val="24"/>
                <w:highlight w:val="none"/>
                <w:lang w:eastAsia="zh-CN"/>
              </w:rPr>
            </w:pPr>
          </w:p>
        </w:tc>
        <w:tc>
          <w:tcPr>
            <w:tcW w:w="2141" w:type="dxa"/>
            <w:vAlign w:val="center"/>
          </w:tcPr>
          <w:p>
            <w:pPr>
              <w:pStyle w:val="147"/>
              <w:keepNext w:val="0"/>
              <w:adjustRightInd/>
              <w:spacing w:before="0" w:after="0" w:line="240" w:lineRule="auto"/>
              <w:jc w:val="both"/>
              <w:rPr>
                <w:rFonts w:ascii="宋体"/>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5" w:type="dxa"/>
            <w:vAlign w:val="center"/>
          </w:tcPr>
          <w:p>
            <w:pPr>
              <w:jc w:val="center"/>
              <w:rPr>
                <w:rFonts w:ascii="宋体"/>
                <w:color w:val="auto"/>
                <w:szCs w:val="21"/>
                <w:highlight w:val="none"/>
              </w:rPr>
            </w:pPr>
          </w:p>
        </w:tc>
        <w:tc>
          <w:tcPr>
            <w:tcW w:w="6185" w:type="dxa"/>
            <w:vAlign w:val="center"/>
          </w:tcPr>
          <w:p>
            <w:pPr>
              <w:pStyle w:val="38"/>
              <w:rPr>
                <w:rFonts w:ascii="宋体"/>
                <w:color w:val="auto"/>
                <w:szCs w:val="21"/>
                <w:highlight w:val="none"/>
              </w:rPr>
            </w:pPr>
          </w:p>
        </w:tc>
        <w:tc>
          <w:tcPr>
            <w:tcW w:w="804" w:type="dxa"/>
            <w:vAlign w:val="center"/>
          </w:tcPr>
          <w:p>
            <w:pPr>
              <w:pStyle w:val="366"/>
              <w:rPr>
                <w:rFonts w:ascii="宋体"/>
                <w:b w:val="0"/>
                <w:color w:val="auto"/>
                <w:sz w:val="21"/>
                <w:highlight w:val="none"/>
              </w:rPr>
            </w:pPr>
          </w:p>
        </w:tc>
        <w:tc>
          <w:tcPr>
            <w:tcW w:w="2141" w:type="dxa"/>
            <w:vAlign w:val="center"/>
          </w:tcPr>
          <w:p>
            <w:pPr>
              <w:pStyle w:val="147"/>
              <w:keepNext w:val="0"/>
              <w:adjustRightInd/>
              <w:spacing w:before="0" w:after="0" w:line="240" w:lineRule="auto"/>
              <w:jc w:val="both"/>
              <w:rPr>
                <w:rFonts w:ascii="宋体"/>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725" w:type="dxa"/>
            <w:vAlign w:val="center"/>
          </w:tcPr>
          <w:p>
            <w:pPr>
              <w:jc w:val="center"/>
              <w:rPr>
                <w:rFonts w:ascii="宋体"/>
                <w:color w:val="auto"/>
                <w:szCs w:val="21"/>
                <w:highlight w:val="none"/>
              </w:rPr>
            </w:pPr>
          </w:p>
        </w:tc>
        <w:tc>
          <w:tcPr>
            <w:tcW w:w="6185" w:type="dxa"/>
            <w:vAlign w:val="center"/>
          </w:tcPr>
          <w:p>
            <w:pPr>
              <w:rPr>
                <w:rFonts w:ascii="宋体"/>
                <w:color w:val="auto"/>
                <w:szCs w:val="21"/>
                <w:highlight w:val="none"/>
              </w:rPr>
            </w:pPr>
          </w:p>
        </w:tc>
        <w:tc>
          <w:tcPr>
            <w:tcW w:w="804" w:type="dxa"/>
            <w:vAlign w:val="center"/>
          </w:tcPr>
          <w:p>
            <w:pPr>
              <w:pStyle w:val="366"/>
              <w:rPr>
                <w:rFonts w:ascii="宋体"/>
                <w:b w:val="0"/>
                <w:color w:val="auto"/>
                <w:sz w:val="21"/>
                <w:highlight w:val="none"/>
              </w:rPr>
            </w:pPr>
          </w:p>
        </w:tc>
        <w:tc>
          <w:tcPr>
            <w:tcW w:w="2141" w:type="dxa"/>
            <w:vAlign w:val="center"/>
          </w:tcPr>
          <w:p>
            <w:pPr>
              <w:pStyle w:val="147"/>
              <w:keepNext w:val="0"/>
              <w:adjustRightInd/>
              <w:spacing w:before="0" w:after="0" w:line="240" w:lineRule="auto"/>
              <w:jc w:val="both"/>
              <w:rPr>
                <w:rFonts w:ascii="宋体"/>
                <w:color w:val="auto"/>
                <w:spacing w:val="0"/>
                <w:kern w:val="2"/>
                <w:sz w:val="21"/>
                <w:szCs w:val="21"/>
                <w:highlight w:val="none"/>
              </w:rPr>
            </w:pPr>
          </w:p>
        </w:tc>
      </w:tr>
    </w:tbl>
    <w:p>
      <w:pPr>
        <w:ind w:left="630" w:hanging="630" w:hangingChars="300"/>
        <w:rPr>
          <w:rFonts w:ascii="宋体"/>
          <w:color w:val="auto"/>
          <w:szCs w:val="21"/>
          <w:highlight w:val="none"/>
          <w:lang w:val="en-GB"/>
        </w:rPr>
      </w:pPr>
    </w:p>
    <w:p>
      <w:pPr>
        <w:spacing w:line="360" w:lineRule="auto"/>
        <w:ind w:left="840" w:hanging="840"/>
        <w:rPr>
          <w:rFonts w:ascii="宋体"/>
          <w:color w:val="auto"/>
          <w:szCs w:val="21"/>
          <w:highlight w:val="none"/>
          <w:lang w:val="en-GB"/>
        </w:rPr>
      </w:pPr>
      <w:r>
        <w:rPr>
          <w:rFonts w:hint="eastAsia" w:ascii="宋体" w:hAnsi="宋体"/>
          <w:color w:val="auto"/>
          <w:szCs w:val="21"/>
          <w:highlight w:val="none"/>
          <w:lang w:val="en-GB"/>
        </w:rPr>
        <w:t>注：</w:t>
      </w:r>
      <w:r>
        <w:rPr>
          <w:rFonts w:ascii="宋体" w:hAnsi="宋体"/>
          <w:color w:val="auto"/>
          <w:szCs w:val="21"/>
          <w:highlight w:val="none"/>
          <w:lang w:val="en-GB"/>
        </w:rPr>
        <w:t>1.</w:t>
      </w:r>
      <w:r>
        <w:rPr>
          <w:rFonts w:hint="eastAsia" w:ascii="宋体" w:hAnsi="宋体"/>
          <w:color w:val="auto"/>
          <w:szCs w:val="21"/>
          <w:highlight w:val="none"/>
        </w:rPr>
        <w:t>对</w:t>
      </w:r>
      <w:r>
        <w:rPr>
          <w:rFonts w:hint="eastAsia" w:ascii="宋体" w:hAnsi="宋体"/>
          <w:color w:val="auto"/>
          <w:szCs w:val="21"/>
          <w:highlight w:val="none"/>
          <w:lang w:val="en-GB"/>
        </w:rPr>
        <w:t>于上述要求，如投标人完全响应，则请在“是否响应”栏内打“√”，对空白或打“×”视为偏离，请在“偏离说明”栏内扼要说明偏离情况。</w:t>
      </w:r>
    </w:p>
    <w:p>
      <w:pPr>
        <w:spacing w:line="360" w:lineRule="auto"/>
        <w:ind w:firstLine="420"/>
        <w:rPr>
          <w:rFonts w:ascii="宋体"/>
          <w:color w:val="auto"/>
          <w:szCs w:val="21"/>
          <w:highlight w:val="none"/>
          <w:lang w:val="en-GB"/>
        </w:rPr>
      </w:pPr>
      <w:r>
        <w:rPr>
          <w:rFonts w:ascii="宋体" w:hAnsi="宋体"/>
          <w:color w:val="auto"/>
          <w:szCs w:val="21"/>
          <w:highlight w:val="none"/>
          <w:lang w:val="en-GB"/>
        </w:rPr>
        <w:t>2.</w:t>
      </w:r>
      <w:r>
        <w:rPr>
          <w:rFonts w:hint="eastAsia" w:ascii="宋体" w:hAnsi="宋体"/>
          <w:color w:val="auto"/>
          <w:szCs w:val="21"/>
          <w:highlight w:val="none"/>
          <w:lang w:val="en-GB"/>
        </w:rPr>
        <w:t>此表内容必须与实施方案中所介绍的内容一致。</w:t>
      </w:r>
    </w:p>
    <w:p>
      <w:pPr>
        <w:adjustRightInd w:val="0"/>
        <w:snapToGrid w:val="0"/>
        <w:spacing w:line="360" w:lineRule="auto"/>
        <w:rPr>
          <w:rFonts w:ascii="宋体" w:cs="宋体"/>
          <w:color w:val="auto"/>
          <w:szCs w:val="21"/>
          <w:highlight w:val="none"/>
        </w:rPr>
      </w:pPr>
    </w:p>
    <w:p>
      <w:pPr>
        <w:adjustRightInd w:val="0"/>
        <w:snapToGrid w:val="0"/>
        <w:spacing w:line="360" w:lineRule="auto"/>
        <w:rPr>
          <w:rFonts w:ascii="宋体" w:cs="宋体"/>
          <w:color w:val="auto"/>
          <w:szCs w:val="21"/>
          <w:highlight w:val="none"/>
          <w:u w:val="single"/>
        </w:rPr>
      </w:pPr>
      <w:r>
        <w:rPr>
          <w:rFonts w:hint="eastAsia" w:ascii="宋体" w:hAnsi="宋体" w:cs="宋体"/>
          <w:color w:val="auto"/>
          <w:szCs w:val="21"/>
          <w:highlight w:val="none"/>
        </w:rPr>
        <w:t>投标人名称（盖章）：</w:t>
      </w:r>
    </w:p>
    <w:p>
      <w:pPr>
        <w:adjustRightInd w:val="0"/>
        <w:snapToGrid w:val="0"/>
        <w:spacing w:before="120" w:beforeLines="50" w:after="120" w:afterLines="50" w:line="360" w:lineRule="auto"/>
        <w:rPr>
          <w:rFonts w:ascii="宋体" w:cs="宋体"/>
          <w:color w:val="auto"/>
          <w:szCs w:val="21"/>
          <w:highlight w:val="none"/>
        </w:rPr>
      </w:pPr>
      <w:r>
        <w:rPr>
          <w:rFonts w:hint="eastAsia" w:ascii="宋体" w:hAnsi="宋体" w:cs="宋体"/>
          <w:color w:val="auto"/>
          <w:szCs w:val="21"/>
          <w:highlight w:val="none"/>
        </w:rPr>
        <w:t>投标人法定代表人（或法定代表人授权代表）签字：</w:t>
      </w:r>
    </w:p>
    <w:p>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pPr>
        <w:adjustRightInd w:val="0"/>
        <w:snapToGrid w:val="0"/>
        <w:spacing w:line="360" w:lineRule="auto"/>
        <w:rPr>
          <w:rFonts w:ascii="宋体" w:cs="宋体"/>
          <w:color w:val="auto"/>
          <w:szCs w:val="21"/>
          <w:highlight w:val="none"/>
        </w:rPr>
      </w:pPr>
    </w:p>
    <w:p>
      <w:pPr>
        <w:spacing w:line="360" w:lineRule="auto"/>
        <w:ind w:left="630" w:hanging="630" w:hangingChars="300"/>
        <w:rPr>
          <w:rFonts w:ascii="宋体"/>
          <w:color w:val="auto"/>
          <w:szCs w:val="21"/>
          <w:highlight w:val="none"/>
          <w:lang w:val="en-GB"/>
        </w:rPr>
      </w:pPr>
    </w:p>
    <w:p>
      <w:pPr>
        <w:spacing w:line="360" w:lineRule="auto"/>
        <w:ind w:left="630" w:hanging="630" w:hangingChars="300"/>
        <w:rPr>
          <w:rFonts w:ascii="宋体"/>
          <w:color w:val="auto"/>
          <w:szCs w:val="21"/>
          <w:highlight w:val="none"/>
          <w:lang w:val="en-GB"/>
        </w:rPr>
      </w:pPr>
    </w:p>
    <w:p>
      <w:pPr>
        <w:spacing w:line="360" w:lineRule="auto"/>
        <w:ind w:left="630" w:hanging="630" w:hangingChars="300"/>
        <w:rPr>
          <w:rFonts w:ascii="宋体"/>
          <w:color w:val="auto"/>
          <w:szCs w:val="21"/>
          <w:highlight w:val="none"/>
          <w:lang w:val="en-GB"/>
        </w:rPr>
      </w:pPr>
    </w:p>
    <w:p>
      <w:pPr>
        <w:pStyle w:val="7"/>
        <w:keepNext/>
        <w:keepLines/>
        <w:tabs>
          <w:tab w:val="left" w:pos="420"/>
        </w:tabs>
        <w:autoSpaceDE/>
        <w:adjustRightInd/>
        <w:snapToGrid/>
        <w:ind w:left="0" w:firstLine="0"/>
        <w:jc w:val="center"/>
        <w:rPr>
          <w:rFonts w:hAnsi="宋体" w:cs="宋体"/>
          <w:b/>
          <w:snapToGrid w:val="0"/>
          <w:color w:val="auto"/>
          <w:sz w:val="24"/>
          <w:szCs w:val="24"/>
          <w:highlight w:val="none"/>
        </w:rPr>
      </w:pPr>
      <w:r>
        <w:rPr>
          <w:b/>
          <w:color w:val="auto"/>
          <w:sz w:val="24"/>
          <w:szCs w:val="24"/>
          <w:highlight w:val="none"/>
        </w:rPr>
        <w:t xml:space="preserve">4.3 </w:t>
      </w:r>
      <w:r>
        <w:rPr>
          <w:rFonts w:hint="eastAsia"/>
          <w:b/>
          <w:color w:val="auto"/>
          <w:sz w:val="24"/>
          <w:szCs w:val="24"/>
          <w:highlight w:val="none"/>
        </w:rPr>
        <w:t>项目负责人</w:t>
      </w:r>
      <w:r>
        <w:rPr>
          <w:b/>
          <w:color w:val="auto"/>
          <w:sz w:val="24"/>
          <w:szCs w:val="24"/>
          <w:highlight w:val="none"/>
        </w:rPr>
        <w:t>/</w:t>
      </w:r>
      <w:r>
        <w:rPr>
          <w:rFonts w:hint="eastAsia"/>
          <w:b/>
          <w:color w:val="auto"/>
          <w:sz w:val="24"/>
          <w:szCs w:val="24"/>
          <w:highlight w:val="none"/>
        </w:rPr>
        <w:t>技术负责人简历表</w:t>
      </w:r>
    </w:p>
    <w:tbl>
      <w:tblPr>
        <w:tblStyle w:val="55"/>
        <w:tblpPr w:leftFromText="180" w:rightFromText="180" w:vertAnchor="text" w:horzAnchor="page" w:tblpX="1727" w:tblpY="374"/>
        <w:tblOverlap w:val="never"/>
        <w:tblW w:w="892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8"/>
        <w:gridCol w:w="752"/>
        <w:gridCol w:w="480"/>
        <w:gridCol w:w="806"/>
        <w:gridCol w:w="651"/>
        <w:gridCol w:w="552"/>
        <w:gridCol w:w="449"/>
        <w:gridCol w:w="943"/>
        <w:gridCol w:w="633"/>
        <w:gridCol w:w="674"/>
        <w:gridCol w:w="774"/>
        <w:gridCol w:w="10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trPr>
        <w:tc>
          <w:tcPr>
            <w:tcW w:w="1188" w:type="dxa"/>
            <w:vAlign w:val="center"/>
          </w:tcPr>
          <w:p>
            <w:pPr>
              <w:jc w:val="center"/>
              <w:rPr>
                <w:rFonts w:ascii="宋体"/>
                <w:b/>
                <w:color w:val="auto"/>
                <w:szCs w:val="21"/>
                <w:highlight w:val="none"/>
              </w:rPr>
            </w:pPr>
            <w:r>
              <w:rPr>
                <w:rFonts w:hint="eastAsia" w:ascii="宋体" w:hAnsi="宋体"/>
                <w:b/>
                <w:color w:val="auto"/>
                <w:szCs w:val="21"/>
                <w:highlight w:val="none"/>
              </w:rPr>
              <w:t>姓名</w:t>
            </w:r>
          </w:p>
        </w:tc>
        <w:tc>
          <w:tcPr>
            <w:tcW w:w="2038" w:type="dxa"/>
            <w:gridSpan w:val="3"/>
            <w:vAlign w:val="center"/>
          </w:tcPr>
          <w:p>
            <w:pPr>
              <w:jc w:val="center"/>
              <w:rPr>
                <w:rFonts w:ascii="宋体"/>
                <w:b/>
                <w:color w:val="auto"/>
                <w:szCs w:val="21"/>
                <w:highlight w:val="none"/>
              </w:rPr>
            </w:pPr>
          </w:p>
        </w:tc>
        <w:tc>
          <w:tcPr>
            <w:tcW w:w="1203" w:type="dxa"/>
            <w:gridSpan w:val="2"/>
            <w:vAlign w:val="center"/>
          </w:tcPr>
          <w:p>
            <w:pPr>
              <w:jc w:val="center"/>
              <w:rPr>
                <w:rFonts w:ascii="宋体"/>
                <w:b/>
                <w:color w:val="auto"/>
                <w:szCs w:val="21"/>
                <w:highlight w:val="none"/>
              </w:rPr>
            </w:pPr>
            <w:r>
              <w:rPr>
                <w:rFonts w:hint="eastAsia" w:ascii="宋体" w:hAnsi="宋体"/>
                <w:b/>
                <w:color w:val="auto"/>
                <w:szCs w:val="21"/>
                <w:highlight w:val="none"/>
              </w:rPr>
              <w:t>性别</w:t>
            </w:r>
          </w:p>
        </w:tc>
        <w:tc>
          <w:tcPr>
            <w:tcW w:w="2025" w:type="dxa"/>
            <w:gridSpan w:val="3"/>
            <w:vAlign w:val="center"/>
          </w:tcPr>
          <w:p>
            <w:pPr>
              <w:jc w:val="center"/>
              <w:rPr>
                <w:rFonts w:ascii="宋体"/>
                <w:b/>
                <w:color w:val="auto"/>
                <w:szCs w:val="21"/>
                <w:highlight w:val="none"/>
              </w:rPr>
            </w:pPr>
          </w:p>
        </w:tc>
        <w:tc>
          <w:tcPr>
            <w:tcW w:w="1448" w:type="dxa"/>
            <w:gridSpan w:val="2"/>
            <w:vAlign w:val="center"/>
          </w:tcPr>
          <w:p>
            <w:pPr>
              <w:jc w:val="center"/>
              <w:rPr>
                <w:rFonts w:ascii="宋体"/>
                <w:b/>
                <w:color w:val="auto"/>
                <w:szCs w:val="21"/>
                <w:highlight w:val="none"/>
              </w:rPr>
            </w:pPr>
            <w:r>
              <w:rPr>
                <w:rFonts w:hint="eastAsia" w:ascii="宋体" w:hAnsi="宋体"/>
                <w:b/>
                <w:color w:val="auto"/>
                <w:szCs w:val="21"/>
                <w:highlight w:val="none"/>
              </w:rPr>
              <w:t>年龄</w:t>
            </w:r>
          </w:p>
        </w:tc>
        <w:tc>
          <w:tcPr>
            <w:tcW w:w="1026" w:type="dxa"/>
            <w:vAlign w:val="center"/>
          </w:tcPr>
          <w:p>
            <w:pPr>
              <w:jc w:val="center"/>
              <w:rPr>
                <w:rFonts w:ascii="宋体"/>
                <w:b/>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trPr>
        <w:tc>
          <w:tcPr>
            <w:tcW w:w="1188" w:type="dxa"/>
            <w:vAlign w:val="center"/>
          </w:tcPr>
          <w:p>
            <w:pPr>
              <w:jc w:val="center"/>
              <w:rPr>
                <w:rFonts w:ascii="宋体"/>
                <w:b/>
                <w:color w:val="auto"/>
                <w:szCs w:val="21"/>
                <w:highlight w:val="none"/>
              </w:rPr>
            </w:pPr>
            <w:r>
              <w:rPr>
                <w:rFonts w:hint="eastAsia" w:ascii="宋体" w:hAnsi="宋体"/>
                <w:b/>
                <w:color w:val="auto"/>
                <w:szCs w:val="21"/>
                <w:highlight w:val="none"/>
              </w:rPr>
              <w:t>职务</w:t>
            </w:r>
          </w:p>
        </w:tc>
        <w:tc>
          <w:tcPr>
            <w:tcW w:w="2038" w:type="dxa"/>
            <w:gridSpan w:val="3"/>
            <w:vAlign w:val="center"/>
          </w:tcPr>
          <w:p>
            <w:pPr>
              <w:jc w:val="center"/>
              <w:rPr>
                <w:rFonts w:ascii="宋体"/>
                <w:b/>
                <w:color w:val="auto"/>
                <w:szCs w:val="21"/>
                <w:highlight w:val="none"/>
              </w:rPr>
            </w:pPr>
          </w:p>
        </w:tc>
        <w:tc>
          <w:tcPr>
            <w:tcW w:w="1203" w:type="dxa"/>
            <w:gridSpan w:val="2"/>
            <w:vAlign w:val="center"/>
          </w:tcPr>
          <w:p>
            <w:pPr>
              <w:jc w:val="center"/>
              <w:rPr>
                <w:rFonts w:ascii="宋体"/>
                <w:b/>
                <w:color w:val="auto"/>
                <w:szCs w:val="21"/>
                <w:highlight w:val="none"/>
              </w:rPr>
            </w:pPr>
            <w:r>
              <w:rPr>
                <w:rFonts w:hint="eastAsia" w:ascii="宋体" w:hAnsi="宋体"/>
                <w:b/>
                <w:color w:val="auto"/>
                <w:szCs w:val="21"/>
                <w:highlight w:val="none"/>
              </w:rPr>
              <w:t>职称</w:t>
            </w:r>
          </w:p>
        </w:tc>
        <w:tc>
          <w:tcPr>
            <w:tcW w:w="2025" w:type="dxa"/>
            <w:gridSpan w:val="3"/>
            <w:vAlign w:val="center"/>
          </w:tcPr>
          <w:p>
            <w:pPr>
              <w:jc w:val="center"/>
              <w:rPr>
                <w:rFonts w:ascii="宋体"/>
                <w:b/>
                <w:color w:val="auto"/>
                <w:szCs w:val="21"/>
                <w:highlight w:val="none"/>
              </w:rPr>
            </w:pPr>
          </w:p>
        </w:tc>
        <w:tc>
          <w:tcPr>
            <w:tcW w:w="1448" w:type="dxa"/>
            <w:gridSpan w:val="2"/>
            <w:vAlign w:val="center"/>
          </w:tcPr>
          <w:p>
            <w:pPr>
              <w:jc w:val="center"/>
              <w:rPr>
                <w:rFonts w:ascii="宋体"/>
                <w:b/>
                <w:color w:val="auto"/>
                <w:szCs w:val="21"/>
                <w:highlight w:val="none"/>
              </w:rPr>
            </w:pPr>
            <w:r>
              <w:rPr>
                <w:rFonts w:hint="eastAsia" w:ascii="宋体" w:hAnsi="宋体"/>
                <w:b/>
                <w:color w:val="auto"/>
                <w:szCs w:val="21"/>
                <w:highlight w:val="none"/>
              </w:rPr>
              <w:t>学历</w:t>
            </w:r>
          </w:p>
        </w:tc>
        <w:tc>
          <w:tcPr>
            <w:tcW w:w="1026" w:type="dxa"/>
            <w:vAlign w:val="center"/>
          </w:tcPr>
          <w:p>
            <w:pPr>
              <w:jc w:val="center"/>
              <w:rPr>
                <w:rFonts w:ascii="宋体"/>
                <w:b/>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trPr>
        <w:tc>
          <w:tcPr>
            <w:tcW w:w="1188" w:type="dxa"/>
            <w:vAlign w:val="center"/>
          </w:tcPr>
          <w:p>
            <w:pPr>
              <w:jc w:val="center"/>
              <w:rPr>
                <w:rFonts w:ascii="宋体"/>
                <w:b/>
                <w:color w:val="auto"/>
                <w:szCs w:val="21"/>
                <w:highlight w:val="none"/>
              </w:rPr>
            </w:pPr>
            <w:r>
              <w:rPr>
                <w:rFonts w:hint="eastAsia" w:ascii="宋体" w:hAnsi="宋体"/>
                <w:b/>
                <w:color w:val="auto"/>
                <w:szCs w:val="21"/>
                <w:highlight w:val="none"/>
              </w:rPr>
              <w:t>办公电话</w:t>
            </w:r>
          </w:p>
        </w:tc>
        <w:tc>
          <w:tcPr>
            <w:tcW w:w="2038" w:type="dxa"/>
            <w:gridSpan w:val="3"/>
            <w:vAlign w:val="center"/>
          </w:tcPr>
          <w:p>
            <w:pPr>
              <w:jc w:val="center"/>
              <w:rPr>
                <w:rFonts w:ascii="宋体"/>
                <w:b/>
                <w:color w:val="auto"/>
                <w:szCs w:val="21"/>
                <w:highlight w:val="none"/>
              </w:rPr>
            </w:pPr>
          </w:p>
        </w:tc>
        <w:tc>
          <w:tcPr>
            <w:tcW w:w="1203" w:type="dxa"/>
            <w:gridSpan w:val="2"/>
            <w:vAlign w:val="center"/>
          </w:tcPr>
          <w:p>
            <w:pPr>
              <w:jc w:val="center"/>
              <w:rPr>
                <w:rFonts w:ascii="宋体"/>
                <w:b/>
                <w:color w:val="auto"/>
                <w:szCs w:val="21"/>
                <w:highlight w:val="none"/>
              </w:rPr>
            </w:pPr>
            <w:r>
              <w:rPr>
                <w:rFonts w:hint="eastAsia" w:ascii="宋体" w:hAnsi="宋体"/>
                <w:b/>
                <w:color w:val="auto"/>
                <w:szCs w:val="21"/>
                <w:highlight w:val="none"/>
              </w:rPr>
              <w:t>住宅电话</w:t>
            </w:r>
          </w:p>
        </w:tc>
        <w:tc>
          <w:tcPr>
            <w:tcW w:w="2025" w:type="dxa"/>
            <w:gridSpan w:val="3"/>
            <w:vAlign w:val="center"/>
          </w:tcPr>
          <w:p>
            <w:pPr>
              <w:jc w:val="center"/>
              <w:rPr>
                <w:rFonts w:ascii="宋体"/>
                <w:b/>
                <w:color w:val="auto"/>
                <w:szCs w:val="21"/>
                <w:highlight w:val="none"/>
              </w:rPr>
            </w:pPr>
          </w:p>
        </w:tc>
        <w:tc>
          <w:tcPr>
            <w:tcW w:w="1448" w:type="dxa"/>
            <w:gridSpan w:val="2"/>
            <w:vAlign w:val="center"/>
          </w:tcPr>
          <w:p>
            <w:pPr>
              <w:jc w:val="center"/>
              <w:rPr>
                <w:rFonts w:ascii="宋体"/>
                <w:b/>
                <w:color w:val="auto"/>
                <w:szCs w:val="21"/>
                <w:highlight w:val="none"/>
              </w:rPr>
            </w:pPr>
            <w:r>
              <w:rPr>
                <w:rFonts w:hint="eastAsia" w:ascii="宋体" w:hAnsi="宋体"/>
                <w:b/>
                <w:color w:val="auto"/>
                <w:szCs w:val="21"/>
                <w:highlight w:val="none"/>
              </w:rPr>
              <w:t>移动电话</w:t>
            </w:r>
          </w:p>
        </w:tc>
        <w:tc>
          <w:tcPr>
            <w:tcW w:w="1026" w:type="dxa"/>
            <w:vAlign w:val="center"/>
          </w:tcPr>
          <w:p>
            <w:pPr>
              <w:jc w:val="center"/>
              <w:rPr>
                <w:rFonts w:ascii="宋体"/>
                <w:b/>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trPr>
        <w:tc>
          <w:tcPr>
            <w:tcW w:w="2420" w:type="dxa"/>
            <w:gridSpan w:val="3"/>
            <w:vAlign w:val="center"/>
          </w:tcPr>
          <w:p>
            <w:pPr>
              <w:jc w:val="center"/>
              <w:rPr>
                <w:rFonts w:ascii="宋体"/>
                <w:b/>
                <w:color w:val="auto"/>
                <w:szCs w:val="21"/>
                <w:highlight w:val="none"/>
              </w:rPr>
            </w:pPr>
            <w:r>
              <w:rPr>
                <w:rFonts w:hint="eastAsia" w:ascii="宋体" w:hAnsi="宋体"/>
                <w:b/>
                <w:color w:val="auto"/>
                <w:szCs w:val="21"/>
                <w:highlight w:val="none"/>
              </w:rPr>
              <w:t>参加工作时间</w:t>
            </w:r>
          </w:p>
        </w:tc>
        <w:tc>
          <w:tcPr>
            <w:tcW w:w="2458" w:type="dxa"/>
            <w:gridSpan w:val="4"/>
            <w:vAlign w:val="center"/>
          </w:tcPr>
          <w:p>
            <w:pPr>
              <w:jc w:val="center"/>
              <w:rPr>
                <w:rFonts w:ascii="宋体"/>
                <w:b/>
                <w:color w:val="auto"/>
                <w:szCs w:val="21"/>
                <w:highlight w:val="none"/>
              </w:rPr>
            </w:pPr>
          </w:p>
        </w:tc>
        <w:tc>
          <w:tcPr>
            <w:tcW w:w="3024" w:type="dxa"/>
            <w:gridSpan w:val="4"/>
            <w:vAlign w:val="center"/>
          </w:tcPr>
          <w:p>
            <w:pPr>
              <w:jc w:val="center"/>
              <w:rPr>
                <w:rFonts w:ascii="宋体"/>
                <w:b/>
                <w:color w:val="auto"/>
                <w:szCs w:val="21"/>
                <w:highlight w:val="none"/>
              </w:rPr>
            </w:pPr>
            <w:r>
              <w:rPr>
                <w:rFonts w:hint="eastAsia" w:ascii="宋体" w:hAnsi="宋体"/>
                <w:b/>
                <w:color w:val="auto"/>
                <w:szCs w:val="21"/>
                <w:highlight w:val="none"/>
              </w:rPr>
              <w:t>从事项目管理</w:t>
            </w:r>
            <w:r>
              <w:rPr>
                <w:rFonts w:ascii="宋体" w:hAnsi="宋体"/>
                <w:b/>
                <w:color w:val="auto"/>
                <w:szCs w:val="21"/>
                <w:highlight w:val="none"/>
              </w:rPr>
              <w:t>/</w:t>
            </w:r>
            <w:r>
              <w:rPr>
                <w:rFonts w:hint="eastAsia" w:ascii="宋体" w:hAnsi="宋体"/>
                <w:b/>
                <w:color w:val="auto"/>
                <w:szCs w:val="21"/>
                <w:highlight w:val="none"/>
              </w:rPr>
              <w:t>项目经理年限</w:t>
            </w:r>
          </w:p>
        </w:tc>
        <w:tc>
          <w:tcPr>
            <w:tcW w:w="1026" w:type="dxa"/>
            <w:vAlign w:val="center"/>
          </w:tcPr>
          <w:p>
            <w:pPr>
              <w:jc w:val="center"/>
              <w:rPr>
                <w:rFonts w:ascii="宋体"/>
                <w:b/>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trPr>
        <w:tc>
          <w:tcPr>
            <w:tcW w:w="2420" w:type="dxa"/>
            <w:gridSpan w:val="3"/>
            <w:vAlign w:val="center"/>
          </w:tcPr>
          <w:p>
            <w:pPr>
              <w:jc w:val="center"/>
              <w:rPr>
                <w:rFonts w:ascii="宋体"/>
                <w:b/>
                <w:color w:val="auto"/>
                <w:szCs w:val="21"/>
                <w:highlight w:val="none"/>
              </w:rPr>
            </w:pPr>
            <w:r>
              <w:rPr>
                <w:rFonts w:hint="eastAsia" w:ascii="宋体" w:hAnsi="宋体"/>
                <w:b/>
                <w:color w:val="auto"/>
                <w:szCs w:val="21"/>
                <w:highlight w:val="none"/>
              </w:rPr>
              <w:t>具有认证资质</w:t>
            </w:r>
          </w:p>
        </w:tc>
        <w:tc>
          <w:tcPr>
            <w:tcW w:w="6508" w:type="dxa"/>
            <w:gridSpan w:val="9"/>
            <w:vAlign w:val="center"/>
          </w:tcPr>
          <w:p>
            <w:pPr>
              <w:jc w:val="center"/>
              <w:rPr>
                <w:rFonts w:ascii="宋体"/>
                <w:b/>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trPr>
        <w:tc>
          <w:tcPr>
            <w:tcW w:w="8928" w:type="dxa"/>
            <w:gridSpan w:val="12"/>
            <w:vAlign w:val="center"/>
          </w:tcPr>
          <w:p>
            <w:pPr>
              <w:jc w:val="center"/>
              <w:rPr>
                <w:rFonts w:hint="eastAsia" w:ascii="宋体" w:eastAsia="宋体"/>
                <w:b/>
                <w:color w:val="auto"/>
                <w:szCs w:val="21"/>
                <w:highlight w:val="none"/>
                <w:lang w:eastAsia="zh-CN"/>
              </w:rPr>
            </w:pPr>
            <w:r>
              <w:rPr>
                <w:rFonts w:hint="eastAsia" w:ascii="宋体" w:hAnsi="宋体"/>
                <w:b/>
                <w:color w:val="auto"/>
                <w:szCs w:val="21"/>
                <w:highlight w:val="none"/>
              </w:rPr>
              <w:t>已完成项目情况</w:t>
            </w:r>
            <w:r>
              <w:rPr>
                <w:rFonts w:hint="eastAsia" w:ascii="宋体" w:hAnsi="宋体"/>
                <w:b/>
                <w:color w:val="auto"/>
                <w:szCs w:val="21"/>
                <w:highlight w:val="none"/>
                <w:lang w:eastAsia="zh-CN"/>
              </w:rPr>
              <w:t>（如有）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trPr>
        <w:tc>
          <w:tcPr>
            <w:tcW w:w="1940" w:type="dxa"/>
            <w:gridSpan w:val="2"/>
            <w:vAlign w:val="center"/>
          </w:tcPr>
          <w:p>
            <w:pPr>
              <w:jc w:val="center"/>
              <w:rPr>
                <w:rFonts w:ascii="宋体"/>
                <w:b/>
                <w:color w:val="auto"/>
                <w:szCs w:val="21"/>
                <w:highlight w:val="none"/>
              </w:rPr>
            </w:pPr>
            <w:r>
              <w:rPr>
                <w:rFonts w:hint="eastAsia" w:ascii="宋体" w:hAnsi="宋体"/>
                <w:b/>
                <w:color w:val="auto"/>
                <w:szCs w:val="21"/>
                <w:highlight w:val="none"/>
              </w:rPr>
              <w:t>建设单位</w:t>
            </w:r>
          </w:p>
        </w:tc>
        <w:tc>
          <w:tcPr>
            <w:tcW w:w="1937" w:type="dxa"/>
            <w:gridSpan w:val="3"/>
            <w:vAlign w:val="center"/>
          </w:tcPr>
          <w:p>
            <w:pPr>
              <w:jc w:val="center"/>
              <w:rPr>
                <w:rFonts w:ascii="宋体"/>
                <w:b/>
                <w:color w:val="auto"/>
                <w:szCs w:val="21"/>
                <w:highlight w:val="none"/>
              </w:rPr>
            </w:pPr>
            <w:r>
              <w:rPr>
                <w:rFonts w:hint="eastAsia" w:ascii="宋体" w:hAnsi="宋体"/>
                <w:b/>
                <w:color w:val="auto"/>
                <w:szCs w:val="21"/>
                <w:highlight w:val="none"/>
              </w:rPr>
              <w:t>项目名称</w:t>
            </w:r>
          </w:p>
        </w:tc>
        <w:tc>
          <w:tcPr>
            <w:tcW w:w="1944" w:type="dxa"/>
            <w:gridSpan w:val="3"/>
            <w:vAlign w:val="center"/>
          </w:tcPr>
          <w:p>
            <w:pPr>
              <w:jc w:val="center"/>
              <w:rPr>
                <w:rFonts w:ascii="宋体"/>
                <w:b/>
                <w:color w:val="auto"/>
                <w:szCs w:val="21"/>
                <w:highlight w:val="none"/>
              </w:rPr>
            </w:pPr>
            <w:r>
              <w:rPr>
                <w:rFonts w:hint="eastAsia" w:ascii="宋体" w:hAnsi="宋体"/>
                <w:b/>
                <w:color w:val="auto"/>
                <w:szCs w:val="21"/>
                <w:highlight w:val="none"/>
              </w:rPr>
              <w:t>建设规模</w:t>
            </w:r>
          </w:p>
        </w:tc>
        <w:tc>
          <w:tcPr>
            <w:tcW w:w="1307" w:type="dxa"/>
            <w:gridSpan w:val="2"/>
            <w:vAlign w:val="center"/>
          </w:tcPr>
          <w:p>
            <w:pPr>
              <w:jc w:val="center"/>
              <w:rPr>
                <w:rFonts w:ascii="宋体"/>
                <w:b/>
                <w:color w:val="auto"/>
                <w:szCs w:val="21"/>
                <w:highlight w:val="none"/>
              </w:rPr>
            </w:pPr>
            <w:r>
              <w:rPr>
                <w:rFonts w:hint="eastAsia" w:ascii="宋体" w:hAnsi="宋体"/>
                <w:b/>
                <w:color w:val="auto"/>
                <w:szCs w:val="21"/>
                <w:highlight w:val="none"/>
              </w:rPr>
              <w:t>完成日期</w:t>
            </w:r>
          </w:p>
        </w:tc>
        <w:tc>
          <w:tcPr>
            <w:tcW w:w="1800" w:type="dxa"/>
            <w:gridSpan w:val="2"/>
            <w:vAlign w:val="center"/>
          </w:tcPr>
          <w:p>
            <w:pPr>
              <w:jc w:val="center"/>
              <w:rPr>
                <w:rFonts w:ascii="宋体"/>
                <w:b/>
                <w:color w:val="auto"/>
                <w:szCs w:val="21"/>
                <w:highlight w:val="none"/>
              </w:rPr>
            </w:pPr>
            <w:r>
              <w:rPr>
                <w:rFonts w:hint="eastAsia" w:ascii="宋体" w:hAnsi="宋体"/>
                <w:b/>
                <w:color w:val="auto"/>
                <w:szCs w:val="21"/>
                <w:highlight w:val="none"/>
              </w:rPr>
              <w:t>项目质量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trPr>
        <w:tc>
          <w:tcPr>
            <w:tcW w:w="1940" w:type="dxa"/>
            <w:gridSpan w:val="2"/>
            <w:vAlign w:val="center"/>
          </w:tcPr>
          <w:p>
            <w:pPr>
              <w:jc w:val="center"/>
              <w:rPr>
                <w:rFonts w:ascii="宋体"/>
                <w:b/>
                <w:color w:val="auto"/>
                <w:szCs w:val="21"/>
                <w:highlight w:val="none"/>
              </w:rPr>
            </w:pPr>
          </w:p>
        </w:tc>
        <w:tc>
          <w:tcPr>
            <w:tcW w:w="1937" w:type="dxa"/>
            <w:gridSpan w:val="3"/>
            <w:vAlign w:val="center"/>
          </w:tcPr>
          <w:p>
            <w:pPr>
              <w:jc w:val="center"/>
              <w:rPr>
                <w:rFonts w:ascii="宋体"/>
                <w:b/>
                <w:color w:val="auto"/>
                <w:szCs w:val="21"/>
                <w:highlight w:val="none"/>
              </w:rPr>
            </w:pPr>
          </w:p>
        </w:tc>
        <w:tc>
          <w:tcPr>
            <w:tcW w:w="1944" w:type="dxa"/>
            <w:gridSpan w:val="3"/>
            <w:vAlign w:val="center"/>
          </w:tcPr>
          <w:p>
            <w:pPr>
              <w:jc w:val="center"/>
              <w:rPr>
                <w:rFonts w:ascii="宋体"/>
                <w:b/>
                <w:color w:val="auto"/>
                <w:szCs w:val="21"/>
                <w:highlight w:val="none"/>
              </w:rPr>
            </w:pPr>
          </w:p>
        </w:tc>
        <w:tc>
          <w:tcPr>
            <w:tcW w:w="1307" w:type="dxa"/>
            <w:gridSpan w:val="2"/>
            <w:vAlign w:val="center"/>
          </w:tcPr>
          <w:p>
            <w:pPr>
              <w:jc w:val="center"/>
              <w:rPr>
                <w:rFonts w:ascii="宋体"/>
                <w:b/>
                <w:color w:val="auto"/>
                <w:szCs w:val="21"/>
                <w:highlight w:val="none"/>
              </w:rPr>
            </w:pPr>
          </w:p>
        </w:tc>
        <w:tc>
          <w:tcPr>
            <w:tcW w:w="1800" w:type="dxa"/>
            <w:gridSpan w:val="2"/>
            <w:vAlign w:val="center"/>
          </w:tcPr>
          <w:p>
            <w:pPr>
              <w:jc w:val="center"/>
              <w:rPr>
                <w:rFonts w:ascii="宋体"/>
                <w:b/>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trPr>
        <w:tc>
          <w:tcPr>
            <w:tcW w:w="1940" w:type="dxa"/>
            <w:gridSpan w:val="2"/>
            <w:vAlign w:val="center"/>
          </w:tcPr>
          <w:p>
            <w:pPr>
              <w:jc w:val="center"/>
              <w:rPr>
                <w:rFonts w:ascii="宋体"/>
                <w:b/>
                <w:color w:val="auto"/>
                <w:szCs w:val="21"/>
                <w:highlight w:val="none"/>
              </w:rPr>
            </w:pPr>
          </w:p>
        </w:tc>
        <w:tc>
          <w:tcPr>
            <w:tcW w:w="1937" w:type="dxa"/>
            <w:gridSpan w:val="3"/>
            <w:vAlign w:val="center"/>
          </w:tcPr>
          <w:p>
            <w:pPr>
              <w:jc w:val="center"/>
              <w:rPr>
                <w:rFonts w:ascii="宋体"/>
                <w:b/>
                <w:color w:val="auto"/>
                <w:szCs w:val="21"/>
                <w:highlight w:val="none"/>
              </w:rPr>
            </w:pPr>
          </w:p>
        </w:tc>
        <w:tc>
          <w:tcPr>
            <w:tcW w:w="1944" w:type="dxa"/>
            <w:gridSpan w:val="3"/>
            <w:vAlign w:val="center"/>
          </w:tcPr>
          <w:p>
            <w:pPr>
              <w:jc w:val="center"/>
              <w:rPr>
                <w:rFonts w:ascii="宋体"/>
                <w:b/>
                <w:color w:val="auto"/>
                <w:szCs w:val="21"/>
                <w:highlight w:val="none"/>
              </w:rPr>
            </w:pPr>
          </w:p>
        </w:tc>
        <w:tc>
          <w:tcPr>
            <w:tcW w:w="1307" w:type="dxa"/>
            <w:gridSpan w:val="2"/>
            <w:vAlign w:val="center"/>
          </w:tcPr>
          <w:p>
            <w:pPr>
              <w:jc w:val="center"/>
              <w:rPr>
                <w:rFonts w:ascii="宋体"/>
                <w:b/>
                <w:color w:val="auto"/>
                <w:szCs w:val="21"/>
                <w:highlight w:val="none"/>
              </w:rPr>
            </w:pPr>
          </w:p>
        </w:tc>
        <w:tc>
          <w:tcPr>
            <w:tcW w:w="1800" w:type="dxa"/>
            <w:gridSpan w:val="2"/>
            <w:vAlign w:val="center"/>
          </w:tcPr>
          <w:p>
            <w:pPr>
              <w:jc w:val="center"/>
              <w:rPr>
                <w:rFonts w:ascii="宋体"/>
                <w:b/>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trPr>
        <w:tc>
          <w:tcPr>
            <w:tcW w:w="1940" w:type="dxa"/>
            <w:gridSpan w:val="2"/>
            <w:vAlign w:val="center"/>
          </w:tcPr>
          <w:p>
            <w:pPr>
              <w:jc w:val="center"/>
              <w:rPr>
                <w:rFonts w:ascii="宋体"/>
                <w:b/>
                <w:color w:val="auto"/>
                <w:szCs w:val="21"/>
                <w:highlight w:val="none"/>
              </w:rPr>
            </w:pPr>
          </w:p>
        </w:tc>
        <w:tc>
          <w:tcPr>
            <w:tcW w:w="1937" w:type="dxa"/>
            <w:gridSpan w:val="3"/>
            <w:vAlign w:val="center"/>
          </w:tcPr>
          <w:p>
            <w:pPr>
              <w:jc w:val="center"/>
              <w:rPr>
                <w:rFonts w:ascii="宋体"/>
                <w:b/>
                <w:color w:val="auto"/>
                <w:szCs w:val="21"/>
                <w:highlight w:val="none"/>
              </w:rPr>
            </w:pPr>
          </w:p>
        </w:tc>
        <w:tc>
          <w:tcPr>
            <w:tcW w:w="1944" w:type="dxa"/>
            <w:gridSpan w:val="3"/>
            <w:vAlign w:val="center"/>
          </w:tcPr>
          <w:p>
            <w:pPr>
              <w:jc w:val="center"/>
              <w:rPr>
                <w:rFonts w:ascii="宋体"/>
                <w:b/>
                <w:color w:val="auto"/>
                <w:szCs w:val="21"/>
                <w:highlight w:val="none"/>
              </w:rPr>
            </w:pPr>
          </w:p>
        </w:tc>
        <w:tc>
          <w:tcPr>
            <w:tcW w:w="1307" w:type="dxa"/>
            <w:gridSpan w:val="2"/>
            <w:vAlign w:val="center"/>
          </w:tcPr>
          <w:p>
            <w:pPr>
              <w:jc w:val="center"/>
              <w:rPr>
                <w:rFonts w:ascii="宋体"/>
                <w:b/>
                <w:color w:val="auto"/>
                <w:szCs w:val="21"/>
                <w:highlight w:val="none"/>
              </w:rPr>
            </w:pPr>
          </w:p>
        </w:tc>
        <w:tc>
          <w:tcPr>
            <w:tcW w:w="1800" w:type="dxa"/>
            <w:gridSpan w:val="2"/>
            <w:vAlign w:val="center"/>
          </w:tcPr>
          <w:p>
            <w:pPr>
              <w:jc w:val="center"/>
              <w:rPr>
                <w:rFonts w:ascii="宋体"/>
                <w:b/>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trPr>
        <w:tc>
          <w:tcPr>
            <w:tcW w:w="1940" w:type="dxa"/>
            <w:gridSpan w:val="2"/>
            <w:vAlign w:val="center"/>
          </w:tcPr>
          <w:p>
            <w:pPr>
              <w:jc w:val="center"/>
              <w:rPr>
                <w:rFonts w:ascii="宋体"/>
                <w:color w:val="auto"/>
                <w:szCs w:val="21"/>
                <w:highlight w:val="none"/>
              </w:rPr>
            </w:pPr>
          </w:p>
        </w:tc>
        <w:tc>
          <w:tcPr>
            <w:tcW w:w="1937" w:type="dxa"/>
            <w:gridSpan w:val="3"/>
            <w:vAlign w:val="center"/>
          </w:tcPr>
          <w:p>
            <w:pPr>
              <w:jc w:val="center"/>
              <w:rPr>
                <w:rFonts w:ascii="宋体"/>
                <w:color w:val="auto"/>
                <w:szCs w:val="21"/>
                <w:highlight w:val="none"/>
              </w:rPr>
            </w:pPr>
          </w:p>
        </w:tc>
        <w:tc>
          <w:tcPr>
            <w:tcW w:w="1944" w:type="dxa"/>
            <w:gridSpan w:val="3"/>
            <w:vAlign w:val="center"/>
          </w:tcPr>
          <w:p>
            <w:pPr>
              <w:jc w:val="center"/>
              <w:rPr>
                <w:rFonts w:ascii="宋体"/>
                <w:color w:val="auto"/>
                <w:szCs w:val="21"/>
                <w:highlight w:val="none"/>
              </w:rPr>
            </w:pPr>
          </w:p>
        </w:tc>
        <w:tc>
          <w:tcPr>
            <w:tcW w:w="1307" w:type="dxa"/>
            <w:gridSpan w:val="2"/>
            <w:vAlign w:val="center"/>
          </w:tcPr>
          <w:p>
            <w:pPr>
              <w:jc w:val="center"/>
              <w:rPr>
                <w:rFonts w:ascii="宋体"/>
                <w:color w:val="auto"/>
                <w:szCs w:val="21"/>
                <w:highlight w:val="none"/>
              </w:rPr>
            </w:pPr>
          </w:p>
        </w:tc>
        <w:tc>
          <w:tcPr>
            <w:tcW w:w="1800" w:type="dxa"/>
            <w:gridSpan w:val="2"/>
            <w:vAlign w:val="center"/>
          </w:tcPr>
          <w:p>
            <w:pPr>
              <w:jc w:val="center"/>
              <w:rPr>
                <w:rFonts w:ascii="宋体"/>
                <w:color w:val="auto"/>
                <w:szCs w:val="21"/>
                <w:highlight w:val="none"/>
              </w:rPr>
            </w:pPr>
          </w:p>
        </w:tc>
      </w:tr>
    </w:tbl>
    <w:p>
      <w:pPr>
        <w:pStyle w:val="5"/>
        <w:spacing w:before="156" w:after="156" w:line="360" w:lineRule="auto"/>
        <w:ind w:left="0"/>
        <w:rPr>
          <w:rFonts w:ascii="Arial" w:hAnsi="Arial" w:cs="Arial"/>
          <w:color w:val="auto"/>
          <w:sz w:val="21"/>
          <w:szCs w:val="21"/>
          <w:highlight w:val="none"/>
        </w:rPr>
      </w:pPr>
      <w:r>
        <w:rPr>
          <w:rFonts w:hint="eastAsia"/>
          <w:color w:val="auto"/>
          <w:sz w:val="21"/>
          <w:szCs w:val="21"/>
          <w:highlight w:val="none"/>
        </w:rPr>
        <w:t>注：项目负责人</w:t>
      </w:r>
      <w:r>
        <w:rPr>
          <w:color w:val="auto"/>
          <w:sz w:val="21"/>
          <w:szCs w:val="21"/>
          <w:highlight w:val="none"/>
        </w:rPr>
        <w:t xml:space="preserve"> /</w:t>
      </w:r>
      <w:r>
        <w:rPr>
          <w:rFonts w:hint="eastAsia"/>
          <w:color w:val="auto"/>
          <w:sz w:val="21"/>
          <w:szCs w:val="21"/>
          <w:highlight w:val="none"/>
        </w:rPr>
        <w:t>技术负责人</w:t>
      </w:r>
      <w:r>
        <w:rPr>
          <w:rFonts w:hint="eastAsia" w:ascii="Arial" w:hAnsi="Arial" w:cs="Arial"/>
          <w:color w:val="auto"/>
          <w:sz w:val="21"/>
          <w:szCs w:val="21"/>
          <w:highlight w:val="none"/>
        </w:rPr>
        <w:t>获得的资质</w:t>
      </w:r>
      <w:r>
        <w:rPr>
          <w:rFonts w:hint="eastAsia" w:ascii="Arial" w:hAnsi="Arial" w:cs="Arial"/>
          <w:color w:val="auto"/>
          <w:sz w:val="21"/>
          <w:szCs w:val="21"/>
          <w:highlight w:val="none"/>
          <w:lang w:eastAsia="zh-CN"/>
        </w:rPr>
        <w:t>证</w:t>
      </w:r>
      <w:r>
        <w:rPr>
          <w:rFonts w:hint="eastAsia" w:ascii="Arial" w:hAnsi="Arial" w:cs="Arial"/>
          <w:color w:val="auto"/>
          <w:sz w:val="21"/>
          <w:szCs w:val="21"/>
          <w:highlight w:val="none"/>
        </w:rPr>
        <w:t>必须提供相关证书证明复印件、业绩证明复印件</w:t>
      </w:r>
      <w:r>
        <w:rPr>
          <w:rFonts w:hint="eastAsia" w:ascii="Arial" w:hAnsi="Arial" w:cs="Arial"/>
          <w:color w:val="auto"/>
          <w:sz w:val="21"/>
          <w:szCs w:val="21"/>
          <w:highlight w:val="none"/>
          <w:lang w:eastAsia="zh-CN"/>
        </w:rPr>
        <w:t>（如有）</w:t>
      </w:r>
      <w:r>
        <w:rPr>
          <w:rFonts w:hint="eastAsia" w:ascii="Arial" w:hAnsi="Arial" w:cs="Arial"/>
          <w:color w:val="auto"/>
          <w:sz w:val="21"/>
          <w:szCs w:val="21"/>
          <w:highlight w:val="none"/>
        </w:rPr>
        <w:t>、</w:t>
      </w:r>
      <w:r>
        <w:rPr>
          <w:rFonts w:hint="eastAsia" w:ascii="Arial" w:hAnsi="Arial" w:cs="Arial"/>
          <w:b/>
          <w:color w:val="auto"/>
          <w:sz w:val="21"/>
          <w:szCs w:val="21"/>
          <w:highlight w:val="none"/>
        </w:rPr>
        <w:t>2019年</w:t>
      </w:r>
      <w:r>
        <w:rPr>
          <w:rFonts w:hint="eastAsia" w:ascii="Arial" w:hAnsi="Arial" w:cs="Arial"/>
          <w:b/>
          <w:color w:val="auto"/>
          <w:sz w:val="21"/>
          <w:szCs w:val="21"/>
          <w:highlight w:val="none"/>
          <w:lang w:val="en-US" w:eastAsia="zh-CN"/>
        </w:rPr>
        <w:t>5</w:t>
      </w:r>
      <w:r>
        <w:rPr>
          <w:rFonts w:hint="eastAsia" w:ascii="Arial" w:hAnsi="Arial" w:cs="Arial"/>
          <w:b/>
          <w:color w:val="auto"/>
          <w:sz w:val="21"/>
          <w:szCs w:val="21"/>
          <w:highlight w:val="none"/>
        </w:rPr>
        <w:t>-</w:t>
      </w:r>
      <w:r>
        <w:rPr>
          <w:rFonts w:hint="eastAsia" w:ascii="Arial" w:hAnsi="Arial" w:cs="Arial"/>
          <w:b/>
          <w:color w:val="auto"/>
          <w:sz w:val="21"/>
          <w:szCs w:val="21"/>
          <w:highlight w:val="none"/>
          <w:lang w:val="en-US" w:eastAsia="zh-CN"/>
        </w:rPr>
        <w:t>7</w:t>
      </w:r>
      <w:r>
        <w:rPr>
          <w:rFonts w:hint="eastAsia" w:ascii="Arial" w:hAnsi="Arial" w:cs="Arial"/>
          <w:b/>
          <w:color w:val="auto"/>
          <w:sz w:val="21"/>
          <w:szCs w:val="21"/>
          <w:highlight w:val="none"/>
        </w:rPr>
        <w:t>月</w:t>
      </w:r>
      <w:r>
        <w:rPr>
          <w:rFonts w:hint="eastAsia" w:ascii="Arial" w:hAnsi="Arial" w:cs="Arial"/>
          <w:color w:val="auto"/>
          <w:sz w:val="21"/>
          <w:szCs w:val="21"/>
          <w:highlight w:val="none"/>
        </w:rPr>
        <w:t>社保证明复印件并加盖公章。</w:t>
      </w:r>
    </w:p>
    <w:p>
      <w:pPr>
        <w:pStyle w:val="5"/>
        <w:spacing w:before="156" w:after="156" w:line="360" w:lineRule="auto"/>
        <w:ind w:left="0"/>
        <w:rPr>
          <w:rFonts w:ascii="Arial" w:hAnsi="Arial" w:cs="Arial"/>
          <w:color w:val="auto"/>
          <w:szCs w:val="24"/>
          <w:highlight w:val="none"/>
        </w:rPr>
      </w:pPr>
    </w:p>
    <w:p>
      <w:pPr>
        <w:pStyle w:val="5"/>
        <w:spacing w:before="156" w:after="156" w:line="360" w:lineRule="auto"/>
        <w:ind w:left="0"/>
        <w:rPr>
          <w:rFonts w:ascii="Arial" w:hAnsi="Arial" w:cs="Arial"/>
          <w:color w:val="auto"/>
          <w:szCs w:val="24"/>
          <w:highlight w:val="none"/>
        </w:rPr>
      </w:pPr>
    </w:p>
    <w:p>
      <w:pPr>
        <w:adjustRightInd w:val="0"/>
        <w:snapToGrid w:val="0"/>
        <w:spacing w:line="360" w:lineRule="auto"/>
        <w:rPr>
          <w:rFonts w:ascii="宋体" w:cs="宋体"/>
          <w:color w:val="auto"/>
          <w:szCs w:val="21"/>
          <w:highlight w:val="none"/>
          <w:u w:val="single"/>
        </w:rPr>
      </w:pPr>
      <w:r>
        <w:rPr>
          <w:rFonts w:hint="eastAsia" w:ascii="宋体" w:hAnsi="宋体" w:cs="宋体"/>
          <w:color w:val="auto"/>
          <w:szCs w:val="21"/>
          <w:highlight w:val="none"/>
        </w:rPr>
        <w:t>投标人名称（盖章）：</w:t>
      </w:r>
    </w:p>
    <w:p>
      <w:pPr>
        <w:adjustRightInd w:val="0"/>
        <w:snapToGrid w:val="0"/>
        <w:spacing w:before="120" w:beforeLines="50" w:after="120" w:afterLines="50" w:line="360" w:lineRule="auto"/>
        <w:rPr>
          <w:rFonts w:ascii="宋体" w:cs="宋体"/>
          <w:color w:val="auto"/>
          <w:szCs w:val="21"/>
          <w:highlight w:val="none"/>
        </w:rPr>
      </w:pPr>
      <w:r>
        <w:rPr>
          <w:rFonts w:hint="eastAsia" w:ascii="宋体" w:hAnsi="宋体" w:cs="宋体"/>
          <w:color w:val="auto"/>
          <w:szCs w:val="21"/>
          <w:highlight w:val="none"/>
        </w:rPr>
        <w:t>投标人法定代表人（或法定代表人授权代表）签字：</w:t>
      </w:r>
    </w:p>
    <w:p>
      <w:pPr>
        <w:adjustRightInd w:val="0"/>
        <w:snapToGrid w:val="0"/>
        <w:spacing w:line="360" w:lineRule="auto"/>
        <w:rPr>
          <w:rFonts w:ascii="宋体"/>
          <w:color w:val="auto"/>
          <w:szCs w:val="21"/>
          <w:highlight w:val="none"/>
        </w:rPr>
      </w:pPr>
      <w:r>
        <w:rPr>
          <w:rFonts w:hint="eastAsia" w:ascii="宋体" w:hAnsi="宋体" w:cs="宋体"/>
          <w:color w:val="auto"/>
          <w:szCs w:val="21"/>
          <w:highlight w:val="none"/>
        </w:rPr>
        <w:t>日期：年月日</w:t>
      </w:r>
    </w:p>
    <w:p>
      <w:pPr>
        <w:pStyle w:val="7"/>
        <w:keepNext/>
        <w:keepLines/>
        <w:tabs>
          <w:tab w:val="left" w:pos="420"/>
        </w:tabs>
        <w:autoSpaceDE/>
        <w:adjustRightInd/>
        <w:snapToGrid/>
        <w:ind w:left="0" w:firstLine="0"/>
        <w:jc w:val="center"/>
        <w:rPr>
          <w:b/>
          <w:color w:val="auto"/>
          <w:sz w:val="24"/>
          <w:szCs w:val="24"/>
          <w:highlight w:val="none"/>
        </w:rPr>
      </w:pPr>
    </w:p>
    <w:p>
      <w:pPr>
        <w:pStyle w:val="7"/>
        <w:keepNext/>
        <w:keepLines/>
        <w:tabs>
          <w:tab w:val="left" w:pos="420"/>
        </w:tabs>
        <w:autoSpaceDE/>
        <w:adjustRightInd/>
        <w:snapToGrid/>
        <w:ind w:left="0" w:firstLine="0"/>
        <w:jc w:val="center"/>
        <w:rPr>
          <w:b/>
          <w:color w:val="auto"/>
          <w:sz w:val="24"/>
          <w:szCs w:val="24"/>
          <w:highlight w:val="none"/>
        </w:rPr>
      </w:pPr>
      <w:r>
        <w:rPr>
          <w:b/>
          <w:color w:val="auto"/>
          <w:sz w:val="24"/>
          <w:szCs w:val="24"/>
          <w:highlight w:val="none"/>
        </w:rPr>
        <w:t xml:space="preserve">4.4 </w:t>
      </w:r>
      <w:r>
        <w:rPr>
          <w:rFonts w:hint="eastAsia"/>
          <w:b/>
          <w:color w:val="auto"/>
          <w:sz w:val="24"/>
          <w:szCs w:val="24"/>
          <w:highlight w:val="none"/>
        </w:rPr>
        <w:t>拟投入本项目人员情况表</w:t>
      </w:r>
    </w:p>
    <w:tbl>
      <w:tblPr>
        <w:tblStyle w:val="55"/>
        <w:tblW w:w="8055" w:type="dxa"/>
        <w:jc w:val="center"/>
        <w:tblInd w:w="10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327"/>
        <w:gridCol w:w="2225"/>
        <w:gridCol w:w="1327"/>
        <w:gridCol w:w="108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exact"/>
          <w:jc w:val="center"/>
        </w:trPr>
        <w:tc>
          <w:tcPr>
            <w:tcW w:w="761" w:type="dxa"/>
            <w:vAlign w:val="center"/>
          </w:tcPr>
          <w:p>
            <w:pPr>
              <w:widowControl w:val="0"/>
              <w:spacing w:line="360" w:lineRule="auto"/>
              <w:jc w:val="center"/>
              <w:rPr>
                <w:rFonts w:ascii="宋体" w:cs="宋体"/>
                <w:color w:val="auto"/>
                <w:szCs w:val="21"/>
                <w:highlight w:val="none"/>
              </w:rPr>
            </w:pPr>
            <w:r>
              <w:rPr>
                <w:rFonts w:hint="eastAsia" w:ascii="宋体" w:hAnsi="宋体" w:cs="宋体"/>
                <w:color w:val="auto"/>
                <w:szCs w:val="21"/>
                <w:highlight w:val="none"/>
              </w:rPr>
              <w:t>姓名</w:t>
            </w:r>
          </w:p>
        </w:tc>
        <w:tc>
          <w:tcPr>
            <w:tcW w:w="1327" w:type="dxa"/>
            <w:vAlign w:val="center"/>
          </w:tcPr>
          <w:p>
            <w:pPr>
              <w:widowControl w:val="0"/>
              <w:spacing w:line="360" w:lineRule="auto"/>
              <w:jc w:val="center"/>
              <w:rPr>
                <w:rFonts w:ascii="宋体" w:cs="宋体"/>
                <w:color w:val="auto"/>
                <w:szCs w:val="21"/>
                <w:highlight w:val="none"/>
              </w:rPr>
            </w:pPr>
            <w:r>
              <w:rPr>
                <w:rFonts w:hint="eastAsia" w:ascii="宋体" w:hAnsi="宋体" w:cs="宋体"/>
                <w:color w:val="auto"/>
                <w:szCs w:val="21"/>
                <w:highlight w:val="none"/>
              </w:rPr>
              <w:t>职务</w:t>
            </w:r>
          </w:p>
        </w:tc>
        <w:tc>
          <w:tcPr>
            <w:tcW w:w="2225" w:type="dxa"/>
            <w:vAlign w:val="center"/>
          </w:tcPr>
          <w:p>
            <w:pPr>
              <w:widowControl w:val="0"/>
              <w:spacing w:line="360" w:lineRule="auto"/>
              <w:jc w:val="center"/>
              <w:rPr>
                <w:rFonts w:ascii="宋体" w:cs="宋体"/>
                <w:color w:val="auto"/>
                <w:szCs w:val="21"/>
                <w:highlight w:val="none"/>
              </w:rPr>
            </w:pPr>
            <w:r>
              <w:rPr>
                <w:rFonts w:hint="eastAsia" w:ascii="宋体" w:hAnsi="宋体" w:cs="宋体"/>
                <w:color w:val="auto"/>
                <w:szCs w:val="21"/>
                <w:highlight w:val="none"/>
              </w:rPr>
              <w:t>曾主持</w:t>
            </w:r>
            <w:r>
              <w:rPr>
                <w:rFonts w:ascii="宋体" w:hAnsi="宋体" w:cs="宋体"/>
                <w:color w:val="auto"/>
                <w:szCs w:val="21"/>
                <w:highlight w:val="none"/>
              </w:rPr>
              <w:t>/</w:t>
            </w:r>
            <w:r>
              <w:rPr>
                <w:rFonts w:hint="eastAsia" w:ascii="宋体" w:hAnsi="宋体" w:cs="宋体"/>
                <w:color w:val="auto"/>
                <w:szCs w:val="21"/>
                <w:highlight w:val="none"/>
              </w:rPr>
              <w:t>参与的同类项目经历</w:t>
            </w:r>
          </w:p>
        </w:tc>
        <w:tc>
          <w:tcPr>
            <w:tcW w:w="1327" w:type="dxa"/>
            <w:vAlign w:val="center"/>
          </w:tcPr>
          <w:p>
            <w:pPr>
              <w:widowControl w:val="0"/>
              <w:spacing w:line="360" w:lineRule="auto"/>
              <w:jc w:val="center"/>
              <w:rPr>
                <w:rFonts w:ascii="宋体" w:cs="宋体"/>
                <w:color w:val="auto"/>
                <w:szCs w:val="21"/>
                <w:highlight w:val="none"/>
              </w:rPr>
            </w:pPr>
            <w:r>
              <w:rPr>
                <w:rFonts w:hint="eastAsia" w:ascii="宋体" w:hAnsi="宋体" w:cs="宋体"/>
                <w:color w:val="auto"/>
                <w:szCs w:val="21"/>
                <w:highlight w:val="none"/>
              </w:rPr>
              <w:t>资质证书</w:t>
            </w:r>
          </w:p>
        </w:tc>
        <w:tc>
          <w:tcPr>
            <w:tcW w:w="1080" w:type="dxa"/>
            <w:vAlign w:val="center"/>
          </w:tcPr>
          <w:p>
            <w:pPr>
              <w:widowControl w:val="0"/>
              <w:spacing w:line="360" w:lineRule="auto"/>
              <w:jc w:val="center"/>
              <w:rPr>
                <w:rFonts w:ascii="宋体" w:cs="宋体"/>
                <w:color w:val="auto"/>
                <w:szCs w:val="21"/>
                <w:highlight w:val="none"/>
              </w:rPr>
            </w:pPr>
            <w:r>
              <w:rPr>
                <w:rFonts w:hint="eastAsia" w:ascii="宋体" w:hAnsi="宋体" w:cs="宋体"/>
                <w:color w:val="auto"/>
                <w:szCs w:val="21"/>
                <w:highlight w:val="none"/>
              </w:rPr>
              <w:t>专业年限</w:t>
            </w:r>
          </w:p>
        </w:tc>
        <w:tc>
          <w:tcPr>
            <w:tcW w:w="1335" w:type="dxa"/>
            <w:vAlign w:val="center"/>
          </w:tcPr>
          <w:p>
            <w:pPr>
              <w:widowControl w:val="0"/>
              <w:spacing w:line="360" w:lineRule="auto"/>
              <w:jc w:val="center"/>
              <w:rPr>
                <w:rFonts w:asci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61" w:type="dxa"/>
            <w:vAlign w:val="center"/>
          </w:tcPr>
          <w:p>
            <w:pPr>
              <w:widowControl w:val="0"/>
              <w:spacing w:line="360" w:lineRule="auto"/>
              <w:jc w:val="center"/>
              <w:rPr>
                <w:rFonts w:ascii="宋体" w:cs="宋体"/>
                <w:color w:val="auto"/>
                <w:szCs w:val="21"/>
                <w:highlight w:val="none"/>
              </w:rPr>
            </w:pPr>
          </w:p>
        </w:tc>
        <w:tc>
          <w:tcPr>
            <w:tcW w:w="1327" w:type="dxa"/>
            <w:vAlign w:val="center"/>
          </w:tcPr>
          <w:p>
            <w:pPr>
              <w:widowControl w:val="0"/>
              <w:spacing w:line="360" w:lineRule="auto"/>
              <w:jc w:val="center"/>
              <w:rPr>
                <w:rFonts w:ascii="宋体" w:cs="宋体"/>
                <w:color w:val="auto"/>
                <w:szCs w:val="21"/>
                <w:highlight w:val="none"/>
              </w:rPr>
            </w:pPr>
          </w:p>
        </w:tc>
        <w:tc>
          <w:tcPr>
            <w:tcW w:w="2225" w:type="dxa"/>
            <w:vAlign w:val="center"/>
          </w:tcPr>
          <w:p>
            <w:pPr>
              <w:widowControl w:val="0"/>
              <w:spacing w:line="360" w:lineRule="auto"/>
              <w:jc w:val="center"/>
              <w:rPr>
                <w:rFonts w:ascii="宋体" w:cs="宋体"/>
                <w:color w:val="auto"/>
                <w:szCs w:val="21"/>
                <w:highlight w:val="none"/>
              </w:rPr>
            </w:pPr>
          </w:p>
        </w:tc>
        <w:tc>
          <w:tcPr>
            <w:tcW w:w="1327" w:type="dxa"/>
            <w:vAlign w:val="center"/>
          </w:tcPr>
          <w:p>
            <w:pPr>
              <w:widowControl w:val="0"/>
              <w:spacing w:line="360" w:lineRule="auto"/>
              <w:jc w:val="center"/>
              <w:rPr>
                <w:rFonts w:ascii="宋体" w:cs="宋体"/>
                <w:color w:val="auto"/>
                <w:szCs w:val="21"/>
                <w:highlight w:val="none"/>
              </w:rPr>
            </w:pPr>
          </w:p>
        </w:tc>
        <w:tc>
          <w:tcPr>
            <w:tcW w:w="1080" w:type="dxa"/>
            <w:vAlign w:val="center"/>
          </w:tcPr>
          <w:p>
            <w:pPr>
              <w:widowControl w:val="0"/>
              <w:spacing w:line="360" w:lineRule="auto"/>
              <w:jc w:val="center"/>
              <w:rPr>
                <w:rFonts w:ascii="宋体" w:cs="宋体"/>
                <w:color w:val="auto"/>
                <w:szCs w:val="21"/>
                <w:highlight w:val="none"/>
              </w:rPr>
            </w:pPr>
          </w:p>
        </w:tc>
        <w:tc>
          <w:tcPr>
            <w:tcW w:w="1335" w:type="dxa"/>
            <w:vAlign w:val="center"/>
          </w:tcPr>
          <w:p>
            <w:pPr>
              <w:widowControl w:val="0"/>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61" w:type="dxa"/>
            <w:vAlign w:val="center"/>
          </w:tcPr>
          <w:p>
            <w:pPr>
              <w:widowControl w:val="0"/>
              <w:spacing w:line="360" w:lineRule="auto"/>
              <w:jc w:val="center"/>
              <w:rPr>
                <w:rFonts w:ascii="宋体" w:cs="宋体"/>
                <w:color w:val="auto"/>
                <w:szCs w:val="21"/>
                <w:highlight w:val="none"/>
              </w:rPr>
            </w:pPr>
          </w:p>
        </w:tc>
        <w:tc>
          <w:tcPr>
            <w:tcW w:w="1327" w:type="dxa"/>
            <w:vAlign w:val="center"/>
          </w:tcPr>
          <w:p>
            <w:pPr>
              <w:widowControl w:val="0"/>
              <w:spacing w:line="360" w:lineRule="auto"/>
              <w:jc w:val="center"/>
              <w:rPr>
                <w:rFonts w:ascii="宋体" w:cs="宋体"/>
                <w:color w:val="auto"/>
                <w:szCs w:val="21"/>
                <w:highlight w:val="none"/>
              </w:rPr>
            </w:pPr>
          </w:p>
        </w:tc>
        <w:tc>
          <w:tcPr>
            <w:tcW w:w="2225" w:type="dxa"/>
            <w:vAlign w:val="center"/>
          </w:tcPr>
          <w:p>
            <w:pPr>
              <w:widowControl w:val="0"/>
              <w:spacing w:line="360" w:lineRule="auto"/>
              <w:jc w:val="center"/>
              <w:rPr>
                <w:rFonts w:ascii="宋体" w:cs="宋体"/>
                <w:color w:val="auto"/>
                <w:szCs w:val="21"/>
                <w:highlight w:val="none"/>
              </w:rPr>
            </w:pPr>
          </w:p>
        </w:tc>
        <w:tc>
          <w:tcPr>
            <w:tcW w:w="1327" w:type="dxa"/>
            <w:vAlign w:val="center"/>
          </w:tcPr>
          <w:p>
            <w:pPr>
              <w:widowControl w:val="0"/>
              <w:spacing w:line="360" w:lineRule="auto"/>
              <w:jc w:val="center"/>
              <w:rPr>
                <w:rFonts w:ascii="宋体" w:cs="宋体"/>
                <w:color w:val="auto"/>
                <w:szCs w:val="21"/>
                <w:highlight w:val="none"/>
              </w:rPr>
            </w:pPr>
          </w:p>
        </w:tc>
        <w:tc>
          <w:tcPr>
            <w:tcW w:w="1080" w:type="dxa"/>
            <w:vAlign w:val="center"/>
          </w:tcPr>
          <w:p>
            <w:pPr>
              <w:widowControl w:val="0"/>
              <w:spacing w:line="360" w:lineRule="auto"/>
              <w:jc w:val="center"/>
              <w:rPr>
                <w:rFonts w:ascii="宋体" w:cs="宋体"/>
                <w:color w:val="auto"/>
                <w:szCs w:val="21"/>
                <w:highlight w:val="none"/>
              </w:rPr>
            </w:pPr>
          </w:p>
        </w:tc>
        <w:tc>
          <w:tcPr>
            <w:tcW w:w="1335" w:type="dxa"/>
            <w:vAlign w:val="center"/>
          </w:tcPr>
          <w:p>
            <w:pPr>
              <w:widowControl w:val="0"/>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61" w:type="dxa"/>
            <w:vAlign w:val="center"/>
          </w:tcPr>
          <w:p>
            <w:pPr>
              <w:widowControl w:val="0"/>
              <w:spacing w:line="360" w:lineRule="auto"/>
              <w:jc w:val="center"/>
              <w:rPr>
                <w:rFonts w:ascii="宋体" w:cs="宋体"/>
                <w:color w:val="auto"/>
                <w:szCs w:val="21"/>
                <w:highlight w:val="none"/>
              </w:rPr>
            </w:pPr>
          </w:p>
        </w:tc>
        <w:tc>
          <w:tcPr>
            <w:tcW w:w="1327" w:type="dxa"/>
            <w:vAlign w:val="center"/>
          </w:tcPr>
          <w:p>
            <w:pPr>
              <w:widowControl w:val="0"/>
              <w:spacing w:line="360" w:lineRule="auto"/>
              <w:jc w:val="center"/>
              <w:rPr>
                <w:rFonts w:ascii="宋体" w:cs="宋体"/>
                <w:color w:val="auto"/>
                <w:szCs w:val="21"/>
                <w:highlight w:val="none"/>
              </w:rPr>
            </w:pPr>
          </w:p>
        </w:tc>
        <w:tc>
          <w:tcPr>
            <w:tcW w:w="2225" w:type="dxa"/>
            <w:vAlign w:val="center"/>
          </w:tcPr>
          <w:p>
            <w:pPr>
              <w:widowControl w:val="0"/>
              <w:spacing w:line="360" w:lineRule="auto"/>
              <w:jc w:val="center"/>
              <w:rPr>
                <w:rFonts w:ascii="宋体" w:cs="宋体"/>
                <w:color w:val="auto"/>
                <w:szCs w:val="21"/>
                <w:highlight w:val="none"/>
              </w:rPr>
            </w:pPr>
          </w:p>
        </w:tc>
        <w:tc>
          <w:tcPr>
            <w:tcW w:w="1327" w:type="dxa"/>
            <w:vAlign w:val="center"/>
          </w:tcPr>
          <w:p>
            <w:pPr>
              <w:widowControl w:val="0"/>
              <w:spacing w:line="360" w:lineRule="auto"/>
              <w:jc w:val="center"/>
              <w:rPr>
                <w:rFonts w:ascii="宋体" w:cs="宋体"/>
                <w:color w:val="auto"/>
                <w:szCs w:val="21"/>
                <w:highlight w:val="none"/>
              </w:rPr>
            </w:pPr>
          </w:p>
        </w:tc>
        <w:tc>
          <w:tcPr>
            <w:tcW w:w="1080" w:type="dxa"/>
            <w:vAlign w:val="center"/>
          </w:tcPr>
          <w:p>
            <w:pPr>
              <w:widowControl w:val="0"/>
              <w:spacing w:line="360" w:lineRule="auto"/>
              <w:jc w:val="center"/>
              <w:rPr>
                <w:rFonts w:ascii="宋体" w:cs="宋体"/>
                <w:color w:val="auto"/>
                <w:szCs w:val="21"/>
                <w:highlight w:val="none"/>
              </w:rPr>
            </w:pPr>
          </w:p>
        </w:tc>
        <w:tc>
          <w:tcPr>
            <w:tcW w:w="1335" w:type="dxa"/>
            <w:vAlign w:val="center"/>
          </w:tcPr>
          <w:p>
            <w:pPr>
              <w:widowControl w:val="0"/>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61" w:type="dxa"/>
            <w:vAlign w:val="center"/>
          </w:tcPr>
          <w:p>
            <w:pPr>
              <w:widowControl w:val="0"/>
              <w:spacing w:line="360" w:lineRule="auto"/>
              <w:jc w:val="center"/>
              <w:rPr>
                <w:rFonts w:ascii="宋体" w:cs="宋体"/>
                <w:color w:val="auto"/>
                <w:szCs w:val="21"/>
                <w:highlight w:val="none"/>
              </w:rPr>
            </w:pPr>
          </w:p>
        </w:tc>
        <w:tc>
          <w:tcPr>
            <w:tcW w:w="1327" w:type="dxa"/>
            <w:vAlign w:val="center"/>
          </w:tcPr>
          <w:p>
            <w:pPr>
              <w:widowControl w:val="0"/>
              <w:spacing w:line="360" w:lineRule="auto"/>
              <w:jc w:val="center"/>
              <w:rPr>
                <w:rFonts w:ascii="宋体" w:cs="宋体"/>
                <w:color w:val="auto"/>
                <w:szCs w:val="21"/>
                <w:highlight w:val="none"/>
              </w:rPr>
            </w:pPr>
          </w:p>
        </w:tc>
        <w:tc>
          <w:tcPr>
            <w:tcW w:w="2225" w:type="dxa"/>
            <w:vAlign w:val="center"/>
          </w:tcPr>
          <w:p>
            <w:pPr>
              <w:widowControl w:val="0"/>
              <w:spacing w:line="360" w:lineRule="auto"/>
              <w:jc w:val="center"/>
              <w:rPr>
                <w:rFonts w:ascii="宋体" w:cs="宋体"/>
                <w:color w:val="auto"/>
                <w:szCs w:val="21"/>
                <w:highlight w:val="none"/>
              </w:rPr>
            </w:pPr>
          </w:p>
        </w:tc>
        <w:tc>
          <w:tcPr>
            <w:tcW w:w="1327" w:type="dxa"/>
            <w:vAlign w:val="center"/>
          </w:tcPr>
          <w:p>
            <w:pPr>
              <w:widowControl w:val="0"/>
              <w:spacing w:line="360" w:lineRule="auto"/>
              <w:jc w:val="center"/>
              <w:rPr>
                <w:rFonts w:ascii="宋体" w:cs="宋体"/>
                <w:color w:val="auto"/>
                <w:szCs w:val="21"/>
                <w:highlight w:val="none"/>
              </w:rPr>
            </w:pPr>
          </w:p>
        </w:tc>
        <w:tc>
          <w:tcPr>
            <w:tcW w:w="1080" w:type="dxa"/>
            <w:vAlign w:val="center"/>
          </w:tcPr>
          <w:p>
            <w:pPr>
              <w:widowControl w:val="0"/>
              <w:spacing w:line="360" w:lineRule="auto"/>
              <w:jc w:val="center"/>
              <w:rPr>
                <w:rFonts w:ascii="宋体" w:cs="宋体"/>
                <w:color w:val="auto"/>
                <w:szCs w:val="21"/>
                <w:highlight w:val="none"/>
              </w:rPr>
            </w:pPr>
          </w:p>
        </w:tc>
        <w:tc>
          <w:tcPr>
            <w:tcW w:w="1335" w:type="dxa"/>
            <w:vAlign w:val="center"/>
          </w:tcPr>
          <w:p>
            <w:pPr>
              <w:widowControl w:val="0"/>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61" w:type="dxa"/>
            <w:vAlign w:val="center"/>
          </w:tcPr>
          <w:p>
            <w:pPr>
              <w:widowControl w:val="0"/>
              <w:spacing w:line="360" w:lineRule="auto"/>
              <w:jc w:val="center"/>
              <w:rPr>
                <w:rFonts w:ascii="宋体" w:cs="宋体"/>
                <w:color w:val="auto"/>
                <w:szCs w:val="21"/>
                <w:highlight w:val="none"/>
              </w:rPr>
            </w:pPr>
            <w:r>
              <w:rPr>
                <w:rFonts w:hint="eastAsia" w:ascii="宋体" w:hAnsi="宋体" w:cs="宋体"/>
                <w:color w:val="auto"/>
                <w:szCs w:val="21"/>
                <w:highlight w:val="none"/>
              </w:rPr>
              <w:t>…</w:t>
            </w:r>
          </w:p>
        </w:tc>
        <w:tc>
          <w:tcPr>
            <w:tcW w:w="1327" w:type="dxa"/>
            <w:vAlign w:val="center"/>
          </w:tcPr>
          <w:p>
            <w:pPr>
              <w:widowControl w:val="0"/>
              <w:spacing w:line="360" w:lineRule="auto"/>
              <w:jc w:val="center"/>
              <w:rPr>
                <w:rFonts w:ascii="宋体" w:cs="宋体"/>
                <w:color w:val="auto"/>
                <w:szCs w:val="21"/>
                <w:highlight w:val="none"/>
              </w:rPr>
            </w:pPr>
          </w:p>
        </w:tc>
        <w:tc>
          <w:tcPr>
            <w:tcW w:w="2225" w:type="dxa"/>
            <w:vAlign w:val="center"/>
          </w:tcPr>
          <w:p>
            <w:pPr>
              <w:widowControl w:val="0"/>
              <w:spacing w:line="360" w:lineRule="auto"/>
              <w:jc w:val="center"/>
              <w:rPr>
                <w:rFonts w:ascii="宋体" w:cs="宋体"/>
                <w:color w:val="auto"/>
                <w:szCs w:val="21"/>
                <w:highlight w:val="none"/>
              </w:rPr>
            </w:pPr>
          </w:p>
        </w:tc>
        <w:tc>
          <w:tcPr>
            <w:tcW w:w="1327" w:type="dxa"/>
            <w:vAlign w:val="center"/>
          </w:tcPr>
          <w:p>
            <w:pPr>
              <w:widowControl w:val="0"/>
              <w:spacing w:line="360" w:lineRule="auto"/>
              <w:jc w:val="center"/>
              <w:rPr>
                <w:rFonts w:ascii="宋体" w:cs="宋体"/>
                <w:color w:val="auto"/>
                <w:szCs w:val="21"/>
                <w:highlight w:val="none"/>
              </w:rPr>
            </w:pPr>
          </w:p>
        </w:tc>
        <w:tc>
          <w:tcPr>
            <w:tcW w:w="1080" w:type="dxa"/>
            <w:vAlign w:val="center"/>
          </w:tcPr>
          <w:p>
            <w:pPr>
              <w:widowControl w:val="0"/>
              <w:spacing w:line="360" w:lineRule="auto"/>
              <w:jc w:val="center"/>
              <w:rPr>
                <w:rFonts w:ascii="宋体" w:cs="宋体"/>
                <w:color w:val="auto"/>
                <w:szCs w:val="21"/>
                <w:highlight w:val="none"/>
              </w:rPr>
            </w:pPr>
          </w:p>
        </w:tc>
        <w:tc>
          <w:tcPr>
            <w:tcW w:w="1335" w:type="dxa"/>
            <w:vAlign w:val="center"/>
          </w:tcPr>
          <w:p>
            <w:pPr>
              <w:widowControl w:val="0"/>
              <w:spacing w:line="360" w:lineRule="auto"/>
              <w:jc w:val="center"/>
              <w:rPr>
                <w:rFonts w:ascii="宋体" w:cs="宋体"/>
                <w:color w:val="auto"/>
                <w:szCs w:val="21"/>
                <w:highlight w:val="none"/>
              </w:rPr>
            </w:pPr>
          </w:p>
        </w:tc>
      </w:tr>
    </w:tbl>
    <w:p>
      <w:pPr>
        <w:tabs>
          <w:tab w:val="left" w:pos="540"/>
        </w:tabs>
        <w:spacing w:line="360" w:lineRule="auto"/>
        <w:rPr>
          <w:rFonts w:ascii="宋体" w:cs="宋体"/>
          <w:color w:val="auto"/>
          <w:szCs w:val="21"/>
          <w:highlight w:val="none"/>
          <w:lang w:val="en-GB"/>
        </w:rPr>
      </w:pPr>
      <w:r>
        <w:rPr>
          <w:rFonts w:hint="eastAsia" w:ascii="宋体" w:hAnsi="宋体" w:cs="宋体"/>
          <w:color w:val="auto"/>
          <w:szCs w:val="21"/>
          <w:highlight w:val="none"/>
          <w:lang w:val="en-GB"/>
        </w:rPr>
        <w:t>注：上表所列人员</w:t>
      </w:r>
      <w:r>
        <w:rPr>
          <w:rFonts w:hint="eastAsia" w:ascii="Arial" w:hAnsi="Arial" w:cs="Arial"/>
          <w:color w:val="auto"/>
          <w:szCs w:val="21"/>
          <w:highlight w:val="none"/>
        </w:rPr>
        <w:t>提供相关证书证明复印件、业绩证明复印件</w:t>
      </w:r>
      <w:r>
        <w:rPr>
          <w:rFonts w:hint="eastAsia" w:ascii="Arial" w:hAnsi="Arial" w:cs="Arial"/>
          <w:color w:val="auto"/>
          <w:szCs w:val="21"/>
          <w:highlight w:val="none"/>
          <w:lang w:eastAsia="zh-CN"/>
        </w:rPr>
        <w:t>（如有）</w:t>
      </w:r>
      <w:r>
        <w:rPr>
          <w:rFonts w:hint="eastAsia" w:ascii="Arial" w:hAnsi="Arial" w:cs="Arial"/>
          <w:color w:val="auto"/>
          <w:szCs w:val="21"/>
          <w:highlight w:val="none"/>
        </w:rPr>
        <w:t>、</w:t>
      </w:r>
      <w:r>
        <w:rPr>
          <w:rFonts w:hint="eastAsia" w:ascii="Arial" w:hAnsi="Arial" w:cs="Arial"/>
          <w:b/>
          <w:color w:val="auto"/>
          <w:szCs w:val="21"/>
          <w:highlight w:val="none"/>
        </w:rPr>
        <w:t>2019年</w:t>
      </w:r>
      <w:r>
        <w:rPr>
          <w:rFonts w:hint="eastAsia" w:ascii="Arial" w:hAnsi="Arial" w:cs="Arial"/>
          <w:b/>
          <w:color w:val="auto"/>
          <w:szCs w:val="21"/>
          <w:highlight w:val="none"/>
          <w:lang w:val="en-US" w:eastAsia="zh-CN"/>
        </w:rPr>
        <w:t>5-7</w:t>
      </w:r>
      <w:r>
        <w:rPr>
          <w:rFonts w:hint="eastAsia" w:ascii="Arial" w:hAnsi="Arial" w:cs="Arial"/>
          <w:b/>
          <w:color w:val="auto"/>
          <w:szCs w:val="21"/>
          <w:highlight w:val="none"/>
        </w:rPr>
        <w:t>月</w:t>
      </w:r>
      <w:r>
        <w:rPr>
          <w:rFonts w:hint="eastAsia" w:ascii="Arial" w:hAnsi="Arial" w:cs="Arial"/>
          <w:color w:val="auto"/>
          <w:szCs w:val="21"/>
          <w:highlight w:val="none"/>
        </w:rPr>
        <w:t>社保证明复印件并加盖公章。</w:t>
      </w:r>
    </w:p>
    <w:p>
      <w:pPr>
        <w:rPr>
          <w:snapToGrid w:val="0"/>
          <w:color w:val="auto"/>
          <w:highlight w:val="none"/>
          <w:lang w:val="en-GB"/>
        </w:rPr>
      </w:pPr>
    </w:p>
    <w:p>
      <w:pPr>
        <w:rPr>
          <w:snapToGrid w:val="0"/>
          <w:color w:val="auto"/>
          <w:highlight w:val="none"/>
          <w:lang w:val="en-GB"/>
        </w:rPr>
      </w:pPr>
    </w:p>
    <w:p>
      <w:pPr>
        <w:rPr>
          <w:snapToGrid w:val="0"/>
          <w:color w:val="auto"/>
          <w:highlight w:val="none"/>
          <w:lang w:val="en-GB"/>
        </w:rPr>
      </w:pPr>
    </w:p>
    <w:p>
      <w:pPr>
        <w:rPr>
          <w:snapToGrid w:val="0"/>
          <w:color w:val="auto"/>
          <w:highlight w:val="none"/>
          <w:lang w:val="en-GB"/>
        </w:rPr>
      </w:pPr>
    </w:p>
    <w:p>
      <w:pPr>
        <w:rPr>
          <w:snapToGrid w:val="0"/>
          <w:color w:val="auto"/>
          <w:highlight w:val="none"/>
          <w:lang w:val="en-GB"/>
        </w:rPr>
      </w:pPr>
    </w:p>
    <w:p>
      <w:pPr>
        <w:rPr>
          <w:snapToGrid w:val="0"/>
          <w:color w:val="auto"/>
          <w:highlight w:val="none"/>
          <w:lang w:val="en-GB"/>
        </w:rPr>
      </w:pPr>
    </w:p>
    <w:p>
      <w:pPr>
        <w:rPr>
          <w:snapToGrid w:val="0"/>
          <w:color w:val="auto"/>
          <w:highlight w:val="none"/>
          <w:lang w:val="en-GB"/>
        </w:rPr>
      </w:pPr>
    </w:p>
    <w:p>
      <w:pPr>
        <w:rPr>
          <w:snapToGrid w:val="0"/>
          <w:color w:val="auto"/>
          <w:highlight w:val="none"/>
          <w:lang w:val="en-GB"/>
        </w:rPr>
      </w:pPr>
    </w:p>
    <w:p>
      <w:pPr>
        <w:rPr>
          <w:snapToGrid w:val="0"/>
          <w:color w:val="auto"/>
          <w:highlight w:val="none"/>
          <w:lang w:val="en-GB"/>
        </w:rPr>
      </w:pPr>
    </w:p>
    <w:p>
      <w:pPr>
        <w:rPr>
          <w:snapToGrid w:val="0"/>
          <w:color w:val="auto"/>
          <w:highlight w:val="none"/>
          <w:lang w:val="en-GB"/>
        </w:rPr>
      </w:pPr>
    </w:p>
    <w:p>
      <w:pPr>
        <w:adjustRightInd w:val="0"/>
        <w:snapToGrid w:val="0"/>
        <w:spacing w:line="360" w:lineRule="auto"/>
        <w:rPr>
          <w:rFonts w:ascii="宋体" w:cs="宋体"/>
          <w:color w:val="auto"/>
          <w:szCs w:val="21"/>
          <w:highlight w:val="none"/>
          <w:u w:val="single"/>
        </w:rPr>
      </w:pPr>
      <w:r>
        <w:rPr>
          <w:rFonts w:hint="eastAsia" w:ascii="宋体" w:hAnsi="宋体" w:cs="宋体"/>
          <w:color w:val="auto"/>
          <w:szCs w:val="21"/>
          <w:highlight w:val="none"/>
        </w:rPr>
        <w:t>投标人名称（盖章）：</w:t>
      </w:r>
    </w:p>
    <w:p>
      <w:pPr>
        <w:adjustRightInd w:val="0"/>
        <w:snapToGrid w:val="0"/>
        <w:spacing w:before="120" w:beforeLines="50" w:after="120" w:afterLines="50" w:line="360" w:lineRule="auto"/>
        <w:rPr>
          <w:rFonts w:ascii="宋体" w:cs="宋体"/>
          <w:color w:val="auto"/>
          <w:szCs w:val="21"/>
          <w:highlight w:val="none"/>
        </w:rPr>
      </w:pPr>
      <w:r>
        <w:rPr>
          <w:rFonts w:hint="eastAsia" w:ascii="宋体" w:hAnsi="宋体" w:cs="宋体"/>
          <w:color w:val="auto"/>
          <w:szCs w:val="21"/>
          <w:highlight w:val="none"/>
        </w:rPr>
        <w:t>投标人法定代表人（或法定代表人授权代表）签字：</w:t>
      </w:r>
    </w:p>
    <w:p>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日期：年月日</w:t>
      </w:r>
    </w:p>
    <w:p>
      <w:pPr>
        <w:adjustRightInd w:val="0"/>
        <w:snapToGrid w:val="0"/>
        <w:spacing w:line="360" w:lineRule="auto"/>
        <w:rPr>
          <w:rFonts w:ascii="宋体" w:cs="宋体"/>
          <w:color w:val="auto"/>
          <w:szCs w:val="21"/>
          <w:highlight w:val="none"/>
        </w:rPr>
      </w:pPr>
    </w:p>
    <w:p>
      <w:pPr>
        <w:adjustRightInd w:val="0"/>
        <w:snapToGrid w:val="0"/>
        <w:spacing w:line="360" w:lineRule="auto"/>
        <w:rPr>
          <w:rFonts w:ascii="宋体" w:cs="宋体"/>
          <w:color w:val="auto"/>
          <w:szCs w:val="21"/>
          <w:highlight w:val="none"/>
        </w:rPr>
      </w:pPr>
    </w:p>
    <w:p>
      <w:pPr>
        <w:adjustRightInd w:val="0"/>
        <w:snapToGrid w:val="0"/>
        <w:spacing w:line="360" w:lineRule="auto"/>
        <w:rPr>
          <w:rFonts w:ascii="宋体" w:cs="宋体"/>
          <w:color w:val="auto"/>
          <w:szCs w:val="21"/>
          <w:highlight w:val="none"/>
        </w:rPr>
      </w:pPr>
    </w:p>
    <w:p>
      <w:pPr>
        <w:spacing w:line="360" w:lineRule="auto"/>
        <w:rPr>
          <w:rFonts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rPr>
      </w:pPr>
    </w:p>
    <w:p>
      <w:pPr>
        <w:pStyle w:val="53"/>
        <w:ind w:firstLine="240"/>
        <w:rPr>
          <w:rFonts w:ascii="宋体"/>
          <w:color w:val="auto"/>
          <w:highlight w:val="none"/>
        </w:rPr>
      </w:pPr>
    </w:p>
    <w:p>
      <w:pPr>
        <w:pStyle w:val="53"/>
        <w:ind w:firstLine="240"/>
        <w:rPr>
          <w:rFonts w:ascii="宋体"/>
          <w:color w:val="auto"/>
          <w:highlight w:val="none"/>
        </w:rPr>
      </w:pPr>
    </w:p>
    <w:p>
      <w:pPr>
        <w:adjustRightInd w:val="0"/>
        <w:snapToGrid w:val="0"/>
        <w:spacing w:line="360" w:lineRule="auto"/>
        <w:rPr>
          <w:rFonts w:ascii="宋体" w:cs="宋体"/>
          <w:color w:val="auto"/>
          <w:szCs w:val="21"/>
          <w:highlight w:val="none"/>
        </w:rPr>
      </w:pPr>
    </w:p>
    <w:p>
      <w:pPr>
        <w:pStyle w:val="4"/>
        <w:spacing w:before="120" w:after="120"/>
        <w:rPr>
          <w:color w:val="auto"/>
          <w:highlight w:val="none"/>
        </w:rPr>
      </w:pPr>
      <w:bookmarkStart w:id="73" w:name="_Toc489282809"/>
      <w:r>
        <w:rPr>
          <w:rFonts w:hint="eastAsia"/>
          <w:b w:val="0"/>
          <w:color w:val="auto"/>
          <w:highlight w:val="none"/>
        </w:rPr>
        <w:t>五</w:t>
      </w:r>
      <w:r>
        <w:rPr>
          <w:rFonts w:hint="eastAsia"/>
          <w:color w:val="auto"/>
          <w:highlight w:val="none"/>
        </w:rPr>
        <w:t>、技术部分</w:t>
      </w:r>
      <w:bookmarkEnd w:id="73"/>
    </w:p>
    <w:p>
      <w:pPr>
        <w:pStyle w:val="7"/>
        <w:jc w:val="center"/>
        <w:rPr>
          <w:rFonts w:hAnsi="宋体" w:cs="宋体"/>
          <w:b/>
          <w:color w:val="auto"/>
          <w:sz w:val="24"/>
          <w:szCs w:val="24"/>
          <w:highlight w:val="none"/>
        </w:rPr>
      </w:pPr>
      <w:r>
        <w:rPr>
          <w:rFonts w:hAnsi="宋体" w:cs="宋体"/>
          <w:b/>
          <w:color w:val="auto"/>
          <w:sz w:val="24"/>
          <w:szCs w:val="24"/>
          <w:highlight w:val="none"/>
        </w:rPr>
        <w:t xml:space="preserve">5.1 </w:t>
      </w:r>
      <w:r>
        <w:rPr>
          <w:rFonts w:hint="eastAsia" w:hAnsi="宋体" w:cs="宋体"/>
          <w:b/>
          <w:color w:val="auto"/>
          <w:sz w:val="24"/>
          <w:szCs w:val="24"/>
          <w:highlight w:val="none"/>
        </w:rPr>
        <w:t>与用户需求书差异表</w:t>
      </w:r>
    </w:p>
    <w:tbl>
      <w:tblPr>
        <w:tblStyle w:val="55"/>
        <w:tblW w:w="93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701"/>
        <w:gridCol w:w="2003"/>
        <w:gridCol w:w="755"/>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806" w:type="dxa"/>
            <w:vAlign w:val="center"/>
          </w:tcPr>
          <w:p>
            <w:pPr>
              <w:snapToGrid w:val="0"/>
              <w:jc w:val="center"/>
              <w:rPr>
                <w:rFonts w:ascii="宋体"/>
                <w:b/>
                <w:bCs/>
                <w:color w:val="auto"/>
                <w:szCs w:val="21"/>
                <w:highlight w:val="none"/>
              </w:rPr>
            </w:pPr>
            <w:r>
              <w:rPr>
                <w:rFonts w:hint="eastAsia" w:ascii="宋体" w:hAnsi="宋体"/>
                <w:b/>
                <w:bCs/>
                <w:color w:val="auto"/>
                <w:szCs w:val="21"/>
                <w:highlight w:val="none"/>
              </w:rPr>
              <w:t>序号</w:t>
            </w:r>
          </w:p>
        </w:tc>
        <w:tc>
          <w:tcPr>
            <w:tcW w:w="3701" w:type="dxa"/>
            <w:vAlign w:val="center"/>
          </w:tcPr>
          <w:p>
            <w:pPr>
              <w:snapToGrid w:val="0"/>
              <w:jc w:val="center"/>
              <w:rPr>
                <w:rFonts w:ascii="宋体"/>
                <w:b/>
                <w:bCs/>
                <w:color w:val="auto"/>
                <w:szCs w:val="21"/>
                <w:highlight w:val="none"/>
              </w:rPr>
            </w:pPr>
            <w:r>
              <w:rPr>
                <w:rFonts w:hint="eastAsia" w:ascii="宋体" w:hAnsi="宋体"/>
                <w:b/>
                <w:bCs/>
                <w:color w:val="auto"/>
                <w:szCs w:val="21"/>
                <w:highlight w:val="none"/>
              </w:rPr>
              <w:t>需求书条款号</w:t>
            </w:r>
          </w:p>
        </w:tc>
        <w:tc>
          <w:tcPr>
            <w:tcW w:w="2003" w:type="dxa"/>
            <w:vAlign w:val="center"/>
          </w:tcPr>
          <w:p>
            <w:pPr>
              <w:snapToGrid w:val="0"/>
              <w:jc w:val="center"/>
              <w:rPr>
                <w:rFonts w:ascii="宋体"/>
                <w:b/>
                <w:bCs/>
                <w:color w:val="auto"/>
                <w:szCs w:val="21"/>
                <w:highlight w:val="none"/>
              </w:rPr>
            </w:pPr>
            <w:r>
              <w:rPr>
                <w:rFonts w:hint="eastAsia" w:ascii="宋体" w:hAnsi="宋体"/>
                <w:b/>
                <w:bCs/>
                <w:color w:val="auto"/>
                <w:szCs w:val="21"/>
                <w:highlight w:val="none"/>
              </w:rPr>
              <w:t>需求书条款题目</w:t>
            </w:r>
          </w:p>
        </w:tc>
        <w:tc>
          <w:tcPr>
            <w:tcW w:w="755" w:type="dxa"/>
            <w:vAlign w:val="center"/>
          </w:tcPr>
          <w:p>
            <w:pPr>
              <w:snapToGrid w:val="0"/>
              <w:jc w:val="center"/>
              <w:rPr>
                <w:rFonts w:ascii="宋体"/>
                <w:b/>
                <w:bCs/>
                <w:color w:val="auto"/>
                <w:szCs w:val="21"/>
                <w:highlight w:val="none"/>
              </w:rPr>
            </w:pPr>
            <w:r>
              <w:rPr>
                <w:rFonts w:hint="eastAsia" w:ascii="宋体" w:hAnsi="宋体"/>
                <w:b/>
                <w:bCs/>
                <w:color w:val="auto"/>
                <w:szCs w:val="21"/>
                <w:highlight w:val="none"/>
              </w:rPr>
              <w:t>响应</w:t>
            </w:r>
          </w:p>
        </w:tc>
        <w:tc>
          <w:tcPr>
            <w:tcW w:w="2112" w:type="dxa"/>
            <w:vAlign w:val="center"/>
          </w:tcPr>
          <w:p>
            <w:pPr>
              <w:snapToGrid w:val="0"/>
              <w:jc w:val="center"/>
              <w:rPr>
                <w:rFonts w:ascii="宋体"/>
                <w:b/>
                <w:bCs/>
                <w:color w:val="auto"/>
                <w:szCs w:val="21"/>
                <w:highlight w:val="none"/>
              </w:rPr>
            </w:pPr>
            <w:r>
              <w:rPr>
                <w:rFonts w:hint="eastAsia" w:ascii="宋体" w:hAnsi="宋体"/>
                <w:b/>
                <w:bCs/>
                <w:color w:val="auto"/>
                <w:szCs w:val="21"/>
                <w:highlight w:val="none"/>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06" w:type="dxa"/>
            <w:vAlign w:val="center"/>
          </w:tcPr>
          <w:p>
            <w:pPr>
              <w:tabs>
                <w:tab w:val="left" w:pos="0"/>
              </w:tabs>
              <w:snapToGrid w:val="0"/>
              <w:jc w:val="center"/>
              <w:rPr>
                <w:rFonts w:ascii="宋体"/>
                <w:color w:val="auto"/>
                <w:szCs w:val="21"/>
                <w:highlight w:val="none"/>
              </w:rPr>
            </w:pPr>
            <w:r>
              <w:rPr>
                <w:rFonts w:ascii="宋体" w:hAnsi="宋体"/>
                <w:color w:val="auto"/>
                <w:szCs w:val="21"/>
                <w:highlight w:val="none"/>
              </w:rPr>
              <w:t>1</w:t>
            </w:r>
          </w:p>
        </w:tc>
        <w:tc>
          <w:tcPr>
            <w:tcW w:w="3701" w:type="dxa"/>
            <w:vAlign w:val="center"/>
          </w:tcPr>
          <w:p>
            <w:pPr>
              <w:snapToGrid w:val="0"/>
              <w:rPr>
                <w:rFonts w:ascii="宋体"/>
                <w:color w:val="auto"/>
                <w:szCs w:val="21"/>
                <w:highlight w:val="none"/>
              </w:rPr>
            </w:pPr>
          </w:p>
        </w:tc>
        <w:tc>
          <w:tcPr>
            <w:tcW w:w="2003" w:type="dxa"/>
            <w:vAlign w:val="center"/>
          </w:tcPr>
          <w:p>
            <w:pPr>
              <w:snapToGrid w:val="0"/>
              <w:jc w:val="center"/>
              <w:rPr>
                <w:rFonts w:ascii="宋体"/>
                <w:color w:val="auto"/>
                <w:szCs w:val="21"/>
                <w:highlight w:val="none"/>
              </w:rPr>
            </w:pPr>
          </w:p>
        </w:tc>
        <w:tc>
          <w:tcPr>
            <w:tcW w:w="755" w:type="dxa"/>
            <w:vAlign w:val="center"/>
          </w:tcPr>
          <w:p>
            <w:pPr>
              <w:jc w:val="center"/>
              <w:rPr>
                <w:rFonts w:ascii="宋体"/>
                <w:color w:val="auto"/>
                <w:kern w:val="2"/>
                <w:szCs w:val="21"/>
                <w:highlight w:val="none"/>
              </w:rPr>
            </w:pPr>
          </w:p>
        </w:tc>
        <w:tc>
          <w:tcPr>
            <w:tcW w:w="2112" w:type="dxa"/>
            <w:vAlign w:val="center"/>
          </w:tcPr>
          <w:p>
            <w:pPr>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06" w:type="dxa"/>
            <w:vAlign w:val="center"/>
          </w:tcPr>
          <w:p>
            <w:pPr>
              <w:tabs>
                <w:tab w:val="left" w:pos="170"/>
              </w:tabs>
              <w:snapToGrid w:val="0"/>
              <w:jc w:val="center"/>
              <w:rPr>
                <w:rFonts w:ascii="宋体"/>
                <w:color w:val="auto"/>
                <w:szCs w:val="21"/>
                <w:highlight w:val="none"/>
              </w:rPr>
            </w:pPr>
            <w:r>
              <w:rPr>
                <w:rFonts w:ascii="宋体" w:hAnsi="宋体"/>
                <w:color w:val="auto"/>
                <w:szCs w:val="21"/>
                <w:highlight w:val="none"/>
              </w:rPr>
              <w:t>2</w:t>
            </w:r>
          </w:p>
        </w:tc>
        <w:tc>
          <w:tcPr>
            <w:tcW w:w="3701" w:type="dxa"/>
            <w:vAlign w:val="center"/>
          </w:tcPr>
          <w:p>
            <w:pPr>
              <w:rPr>
                <w:rFonts w:ascii="宋体"/>
                <w:color w:val="auto"/>
                <w:szCs w:val="21"/>
                <w:highlight w:val="none"/>
              </w:rPr>
            </w:pPr>
          </w:p>
        </w:tc>
        <w:tc>
          <w:tcPr>
            <w:tcW w:w="2003" w:type="dxa"/>
            <w:vAlign w:val="center"/>
          </w:tcPr>
          <w:p>
            <w:pPr>
              <w:jc w:val="center"/>
              <w:rPr>
                <w:rFonts w:ascii="宋体"/>
                <w:color w:val="auto"/>
                <w:szCs w:val="21"/>
                <w:highlight w:val="none"/>
              </w:rPr>
            </w:pPr>
          </w:p>
        </w:tc>
        <w:tc>
          <w:tcPr>
            <w:tcW w:w="755" w:type="dxa"/>
            <w:vAlign w:val="center"/>
          </w:tcPr>
          <w:p>
            <w:pPr>
              <w:jc w:val="center"/>
              <w:rPr>
                <w:rFonts w:ascii="宋体"/>
                <w:color w:val="auto"/>
                <w:kern w:val="2"/>
                <w:szCs w:val="21"/>
                <w:highlight w:val="none"/>
              </w:rPr>
            </w:pPr>
          </w:p>
        </w:tc>
        <w:tc>
          <w:tcPr>
            <w:tcW w:w="2112" w:type="dxa"/>
            <w:vAlign w:val="center"/>
          </w:tcPr>
          <w:p>
            <w:pPr>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06" w:type="dxa"/>
            <w:vAlign w:val="center"/>
          </w:tcPr>
          <w:p>
            <w:pPr>
              <w:tabs>
                <w:tab w:val="left" w:pos="170"/>
              </w:tabs>
              <w:snapToGrid w:val="0"/>
              <w:jc w:val="center"/>
              <w:rPr>
                <w:rFonts w:ascii="宋体"/>
                <w:color w:val="auto"/>
                <w:szCs w:val="21"/>
                <w:highlight w:val="none"/>
              </w:rPr>
            </w:pPr>
            <w:r>
              <w:rPr>
                <w:rFonts w:ascii="宋体" w:hAnsi="宋体"/>
                <w:color w:val="auto"/>
                <w:szCs w:val="21"/>
                <w:highlight w:val="none"/>
              </w:rPr>
              <w:t>3</w:t>
            </w:r>
          </w:p>
        </w:tc>
        <w:tc>
          <w:tcPr>
            <w:tcW w:w="3701" w:type="dxa"/>
            <w:vAlign w:val="center"/>
          </w:tcPr>
          <w:p>
            <w:pPr>
              <w:snapToGrid w:val="0"/>
              <w:rPr>
                <w:rFonts w:ascii="宋体"/>
                <w:color w:val="auto"/>
                <w:szCs w:val="21"/>
                <w:highlight w:val="none"/>
              </w:rPr>
            </w:pPr>
          </w:p>
        </w:tc>
        <w:tc>
          <w:tcPr>
            <w:tcW w:w="2003" w:type="dxa"/>
            <w:vAlign w:val="center"/>
          </w:tcPr>
          <w:p>
            <w:pPr>
              <w:snapToGrid w:val="0"/>
              <w:jc w:val="center"/>
              <w:rPr>
                <w:rFonts w:ascii="宋体"/>
                <w:color w:val="auto"/>
                <w:szCs w:val="21"/>
                <w:highlight w:val="none"/>
              </w:rPr>
            </w:pPr>
          </w:p>
        </w:tc>
        <w:tc>
          <w:tcPr>
            <w:tcW w:w="755" w:type="dxa"/>
            <w:vAlign w:val="center"/>
          </w:tcPr>
          <w:p>
            <w:pPr>
              <w:snapToGrid w:val="0"/>
              <w:jc w:val="center"/>
              <w:rPr>
                <w:rFonts w:ascii="宋体"/>
                <w:color w:val="auto"/>
                <w:szCs w:val="21"/>
                <w:highlight w:val="none"/>
              </w:rPr>
            </w:pPr>
          </w:p>
        </w:tc>
        <w:tc>
          <w:tcPr>
            <w:tcW w:w="2112" w:type="dxa"/>
            <w:vAlign w:val="center"/>
          </w:tcPr>
          <w:p>
            <w:pPr>
              <w:snapToGrid w:val="0"/>
              <w:ind w:right="-35"/>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06" w:type="dxa"/>
            <w:vAlign w:val="center"/>
          </w:tcPr>
          <w:p>
            <w:pPr>
              <w:tabs>
                <w:tab w:val="left" w:pos="170"/>
              </w:tabs>
              <w:snapToGrid w:val="0"/>
              <w:jc w:val="center"/>
              <w:rPr>
                <w:rFonts w:ascii="宋体"/>
                <w:color w:val="auto"/>
                <w:szCs w:val="21"/>
                <w:highlight w:val="none"/>
              </w:rPr>
            </w:pPr>
            <w:r>
              <w:rPr>
                <w:rFonts w:ascii="宋体" w:hAnsi="宋体"/>
                <w:color w:val="auto"/>
                <w:szCs w:val="21"/>
                <w:highlight w:val="none"/>
              </w:rPr>
              <w:t>4</w:t>
            </w:r>
          </w:p>
        </w:tc>
        <w:tc>
          <w:tcPr>
            <w:tcW w:w="3701" w:type="dxa"/>
            <w:vAlign w:val="center"/>
          </w:tcPr>
          <w:p>
            <w:pPr>
              <w:snapToGrid w:val="0"/>
              <w:rPr>
                <w:rFonts w:ascii="宋体"/>
                <w:color w:val="auto"/>
                <w:szCs w:val="21"/>
                <w:highlight w:val="none"/>
              </w:rPr>
            </w:pPr>
          </w:p>
        </w:tc>
        <w:tc>
          <w:tcPr>
            <w:tcW w:w="2003" w:type="dxa"/>
            <w:vAlign w:val="center"/>
          </w:tcPr>
          <w:p>
            <w:pPr>
              <w:snapToGrid w:val="0"/>
              <w:jc w:val="center"/>
              <w:rPr>
                <w:rFonts w:ascii="宋体"/>
                <w:color w:val="auto"/>
                <w:szCs w:val="21"/>
                <w:highlight w:val="none"/>
              </w:rPr>
            </w:pPr>
          </w:p>
        </w:tc>
        <w:tc>
          <w:tcPr>
            <w:tcW w:w="755" w:type="dxa"/>
            <w:vAlign w:val="center"/>
          </w:tcPr>
          <w:p>
            <w:pPr>
              <w:snapToGrid w:val="0"/>
              <w:jc w:val="center"/>
              <w:rPr>
                <w:rFonts w:ascii="宋体"/>
                <w:color w:val="auto"/>
                <w:szCs w:val="21"/>
                <w:highlight w:val="none"/>
              </w:rPr>
            </w:pPr>
          </w:p>
        </w:tc>
        <w:tc>
          <w:tcPr>
            <w:tcW w:w="2112" w:type="dxa"/>
            <w:vAlign w:val="center"/>
          </w:tcPr>
          <w:p>
            <w:pPr>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06" w:type="dxa"/>
            <w:vAlign w:val="center"/>
          </w:tcPr>
          <w:p>
            <w:pPr>
              <w:tabs>
                <w:tab w:val="left" w:pos="170"/>
              </w:tabs>
              <w:snapToGrid w:val="0"/>
              <w:jc w:val="center"/>
              <w:rPr>
                <w:rFonts w:ascii="宋体"/>
                <w:color w:val="auto"/>
                <w:szCs w:val="21"/>
                <w:highlight w:val="none"/>
              </w:rPr>
            </w:pPr>
            <w:r>
              <w:rPr>
                <w:rFonts w:ascii="宋体" w:hAnsi="宋体"/>
                <w:color w:val="auto"/>
                <w:szCs w:val="21"/>
                <w:highlight w:val="none"/>
              </w:rPr>
              <w:t>5</w:t>
            </w:r>
          </w:p>
        </w:tc>
        <w:tc>
          <w:tcPr>
            <w:tcW w:w="3701" w:type="dxa"/>
            <w:vAlign w:val="center"/>
          </w:tcPr>
          <w:p>
            <w:pPr>
              <w:rPr>
                <w:rFonts w:ascii="宋体"/>
                <w:color w:val="auto"/>
                <w:szCs w:val="21"/>
                <w:highlight w:val="none"/>
              </w:rPr>
            </w:pPr>
          </w:p>
        </w:tc>
        <w:tc>
          <w:tcPr>
            <w:tcW w:w="2003" w:type="dxa"/>
            <w:vAlign w:val="center"/>
          </w:tcPr>
          <w:p>
            <w:pPr>
              <w:jc w:val="center"/>
              <w:rPr>
                <w:rFonts w:ascii="宋体"/>
                <w:color w:val="auto"/>
                <w:szCs w:val="21"/>
                <w:highlight w:val="none"/>
              </w:rPr>
            </w:pPr>
          </w:p>
        </w:tc>
        <w:tc>
          <w:tcPr>
            <w:tcW w:w="755" w:type="dxa"/>
            <w:vAlign w:val="center"/>
          </w:tcPr>
          <w:p>
            <w:pPr>
              <w:snapToGrid w:val="0"/>
              <w:jc w:val="center"/>
              <w:rPr>
                <w:rFonts w:ascii="宋体"/>
                <w:color w:val="auto"/>
                <w:szCs w:val="21"/>
                <w:highlight w:val="none"/>
              </w:rPr>
            </w:pPr>
          </w:p>
        </w:tc>
        <w:tc>
          <w:tcPr>
            <w:tcW w:w="2112" w:type="dxa"/>
            <w:vAlign w:val="center"/>
          </w:tcPr>
          <w:p>
            <w:pPr>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06" w:type="dxa"/>
            <w:vAlign w:val="center"/>
          </w:tcPr>
          <w:p>
            <w:pPr>
              <w:tabs>
                <w:tab w:val="left" w:pos="170"/>
              </w:tabs>
              <w:snapToGrid w:val="0"/>
              <w:jc w:val="center"/>
              <w:rPr>
                <w:rFonts w:ascii="宋体"/>
                <w:color w:val="auto"/>
                <w:szCs w:val="21"/>
                <w:highlight w:val="none"/>
              </w:rPr>
            </w:pPr>
            <w:r>
              <w:rPr>
                <w:rFonts w:ascii="宋体" w:hAnsi="宋体"/>
                <w:color w:val="auto"/>
                <w:szCs w:val="21"/>
                <w:highlight w:val="none"/>
              </w:rPr>
              <w:t>6</w:t>
            </w:r>
          </w:p>
        </w:tc>
        <w:tc>
          <w:tcPr>
            <w:tcW w:w="3701" w:type="dxa"/>
            <w:vAlign w:val="center"/>
          </w:tcPr>
          <w:p>
            <w:pPr>
              <w:rPr>
                <w:rFonts w:ascii="宋体"/>
                <w:color w:val="auto"/>
                <w:szCs w:val="21"/>
                <w:highlight w:val="none"/>
              </w:rPr>
            </w:pPr>
          </w:p>
        </w:tc>
        <w:tc>
          <w:tcPr>
            <w:tcW w:w="2003" w:type="dxa"/>
            <w:vAlign w:val="center"/>
          </w:tcPr>
          <w:p>
            <w:pPr>
              <w:jc w:val="center"/>
              <w:rPr>
                <w:rFonts w:ascii="宋体"/>
                <w:color w:val="auto"/>
                <w:szCs w:val="21"/>
                <w:highlight w:val="none"/>
              </w:rPr>
            </w:pPr>
          </w:p>
        </w:tc>
        <w:tc>
          <w:tcPr>
            <w:tcW w:w="755" w:type="dxa"/>
            <w:vAlign w:val="center"/>
          </w:tcPr>
          <w:p>
            <w:pPr>
              <w:snapToGrid w:val="0"/>
              <w:jc w:val="center"/>
              <w:rPr>
                <w:rFonts w:ascii="宋体"/>
                <w:color w:val="auto"/>
                <w:szCs w:val="21"/>
                <w:highlight w:val="none"/>
              </w:rPr>
            </w:pPr>
          </w:p>
        </w:tc>
        <w:tc>
          <w:tcPr>
            <w:tcW w:w="2112" w:type="dxa"/>
            <w:vAlign w:val="center"/>
          </w:tcPr>
          <w:p>
            <w:pPr>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06" w:type="dxa"/>
            <w:vAlign w:val="center"/>
          </w:tcPr>
          <w:p>
            <w:pPr>
              <w:tabs>
                <w:tab w:val="left" w:pos="170"/>
              </w:tabs>
              <w:snapToGrid w:val="0"/>
              <w:jc w:val="center"/>
              <w:rPr>
                <w:rFonts w:ascii="宋体"/>
                <w:color w:val="auto"/>
                <w:szCs w:val="21"/>
                <w:highlight w:val="none"/>
              </w:rPr>
            </w:pPr>
            <w:r>
              <w:rPr>
                <w:rFonts w:ascii="宋体" w:hAnsi="宋体"/>
                <w:color w:val="auto"/>
                <w:szCs w:val="21"/>
                <w:highlight w:val="none"/>
              </w:rPr>
              <w:t>7</w:t>
            </w:r>
          </w:p>
        </w:tc>
        <w:tc>
          <w:tcPr>
            <w:tcW w:w="3701" w:type="dxa"/>
            <w:vAlign w:val="center"/>
          </w:tcPr>
          <w:p>
            <w:pPr>
              <w:rPr>
                <w:rFonts w:ascii="宋体"/>
                <w:color w:val="auto"/>
                <w:szCs w:val="21"/>
                <w:highlight w:val="none"/>
              </w:rPr>
            </w:pPr>
          </w:p>
        </w:tc>
        <w:tc>
          <w:tcPr>
            <w:tcW w:w="2003" w:type="dxa"/>
            <w:vAlign w:val="center"/>
          </w:tcPr>
          <w:p>
            <w:pPr>
              <w:jc w:val="center"/>
              <w:rPr>
                <w:rFonts w:ascii="宋体"/>
                <w:color w:val="auto"/>
                <w:szCs w:val="21"/>
                <w:highlight w:val="none"/>
              </w:rPr>
            </w:pPr>
          </w:p>
        </w:tc>
        <w:tc>
          <w:tcPr>
            <w:tcW w:w="755" w:type="dxa"/>
            <w:vAlign w:val="center"/>
          </w:tcPr>
          <w:p>
            <w:pPr>
              <w:snapToGrid w:val="0"/>
              <w:jc w:val="center"/>
              <w:rPr>
                <w:rFonts w:ascii="宋体"/>
                <w:color w:val="auto"/>
                <w:szCs w:val="21"/>
                <w:highlight w:val="none"/>
              </w:rPr>
            </w:pPr>
          </w:p>
        </w:tc>
        <w:tc>
          <w:tcPr>
            <w:tcW w:w="2112" w:type="dxa"/>
            <w:vAlign w:val="center"/>
          </w:tcPr>
          <w:p>
            <w:pPr>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06" w:type="dxa"/>
            <w:vAlign w:val="center"/>
          </w:tcPr>
          <w:p>
            <w:pPr>
              <w:tabs>
                <w:tab w:val="left" w:pos="170"/>
              </w:tabs>
              <w:snapToGrid w:val="0"/>
              <w:jc w:val="center"/>
              <w:rPr>
                <w:rFonts w:ascii="宋体"/>
                <w:color w:val="auto"/>
                <w:szCs w:val="21"/>
                <w:highlight w:val="none"/>
              </w:rPr>
            </w:pPr>
            <w:r>
              <w:rPr>
                <w:rFonts w:ascii="宋体" w:hAnsi="宋体"/>
                <w:color w:val="auto"/>
                <w:szCs w:val="21"/>
                <w:highlight w:val="none"/>
              </w:rPr>
              <w:t>8</w:t>
            </w:r>
          </w:p>
        </w:tc>
        <w:tc>
          <w:tcPr>
            <w:tcW w:w="3701" w:type="dxa"/>
            <w:vAlign w:val="center"/>
          </w:tcPr>
          <w:p>
            <w:pPr>
              <w:rPr>
                <w:rFonts w:ascii="宋体"/>
                <w:color w:val="auto"/>
                <w:szCs w:val="21"/>
                <w:highlight w:val="none"/>
              </w:rPr>
            </w:pPr>
          </w:p>
        </w:tc>
        <w:tc>
          <w:tcPr>
            <w:tcW w:w="2003" w:type="dxa"/>
            <w:vAlign w:val="center"/>
          </w:tcPr>
          <w:p>
            <w:pPr>
              <w:jc w:val="center"/>
              <w:rPr>
                <w:rFonts w:ascii="宋体"/>
                <w:color w:val="auto"/>
                <w:szCs w:val="21"/>
                <w:highlight w:val="none"/>
              </w:rPr>
            </w:pPr>
          </w:p>
        </w:tc>
        <w:tc>
          <w:tcPr>
            <w:tcW w:w="755" w:type="dxa"/>
            <w:vAlign w:val="center"/>
          </w:tcPr>
          <w:p>
            <w:pPr>
              <w:snapToGrid w:val="0"/>
              <w:jc w:val="center"/>
              <w:rPr>
                <w:rFonts w:ascii="宋体"/>
                <w:color w:val="auto"/>
                <w:szCs w:val="21"/>
                <w:highlight w:val="none"/>
              </w:rPr>
            </w:pPr>
          </w:p>
        </w:tc>
        <w:tc>
          <w:tcPr>
            <w:tcW w:w="2112" w:type="dxa"/>
            <w:vAlign w:val="center"/>
          </w:tcPr>
          <w:p>
            <w:pPr>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06" w:type="dxa"/>
            <w:vAlign w:val="center"/>
          </w:tcPr>
          <w:p>
            <w:pPr>
              <w:snapToGrid w:val="0"/>
              <w:rPr>
                <w:rFonts w:ascii="宋体"/>
                <w:color w:val="auto"/>
                <w:szCs w:val="21"/>
                <w:highlight w:val="none"/>
              </w:rPr>
            </w:pPr>
            <w:r>
              <w:rPr>
                <w:rFonts w:hint="eastAsia" w:ascii="宋体" w:hAnsi="宋体"/>
                <w:color w:val="auto"/>
                <w:szCs w:val="21"/>
                <w:highlight w:val="none"/>
              </w:rPr>
              <w:t>……</w:t>
            </w:r>
          </w:p>
        </w:tc>
        <w:tc>
          <w:tcPr>
            <w:tcW w:w="3701" w:type="dxa"/>
            <w:vAlign w:val="center"/>
          </w:tcPr>
          <w:p>
            <w:pPr>
              <w:rPr>
                <w:rFonts w:ascii="宋体"/>
                <w:color w:val="auto"/>
                <w:szCs w:val="21"/>
                <w:highlight w:val="none"/>
              </w:rPr>
            </w:pPr>
          </w:p>
        </w:tc>
        <w:tc>
          <w:tcPr>
            <w:tcW w:w="2003" w:type="dxa"/>
            <w:vAlign w:val="center"/>
          </w:tcPr>
          <w:p>
            <w:pPr>
              <w:jc w:val="center"/>
              <w:rPr>
                <w:rFonts w:ascii="宋体"/>
                <w:color w:val="auto"/>
                <w:szCs w:val="21"/>
                <w:highlight w:val="none"/>
              </w:rPr>
            </w:pPr>
          </w:p>
        </w:tc>
        <w:tc>
          <w:tcPr>
            <w:tcW w:w="755" w:type="dxa"/>
            <w:vAlign w:val="center"/>
          </w:tcPr>
          <w:p>
            <w:pPr>
              <w:snapToGrid w:val="0"/>
              <w:jc w:val="center"/>
              <w:rPr>
                <w:rFonts w:ascii="宋体"/>
                <w:color w:val="auto"/>
                <w:szCs w:val="21"/>
                <w:highlight w:val="none"/>
              </w:rPr>
            </w:pPr>
          </w:p>
        </w:tc>
        <w:tc>
          <w:tcPr>
            <w:tcW w:w="2112" w:type="dxa"/>
            <w:vAlign w:val="center"/>
          </w:tcPr>
          <w:p>
            <w:pPr>
              <w:snapToGrid w:val="0"/>
              <w:jc w:val="center"/>
              <w:rPr>
                <w:rFonts w:ascii="宋体"/>
                <w:color w:val="auto"/>
                <w:szCs w:val="21"/>
                <w:highlight w:val="none"/>
              </w:rPr>
            </w:pPr>
          </w:p>
        </w:tc>
      </w:tr>
    </w:tbl>
    <w:p>
      <w:pPr>
        <w:rPr>
          <w:rFonts w:ascii="宋体"/>
          <w:color w:val="auto"/>
          <w:szCs w:val="21"/>
          <w:highlight w:val="none"/>
        </w:rPr>
      </w:pPr>
    </w:p>
    <w:p>
      <w:pPr>
        <w:snapToGrid w:val="0"/>
        <w:spacing w:line="360" w:lineRule="auto"/>
        <w:ind w:left="735" w:hanging="735" w:hangingChars="350"/>
        <w:rPr>
          <w:rFonts w:ascii="宋体"/>
          <w:color w:val="auto"/>
          <w:szCs w:val="21"/>
          <w:highlight w:val="none"/>
        </w:rPr>
      </w:pPr>
      <w:r>
        <w:rPr>
          <w:rFonts w:hint="eastAsia" w:ascii="宋体" w:hAnsi="宋体"/>
          <w:color w:val="auto"/>
          <w:szCs w:val="21"/>
          <w:highlight w:val="none"/>
          <w:lang w:val="en-GB"/>
        </w:rPr>
        <w:t>注：</w:t>
      </w:r>
      <w:r>
        <w:rPr>
          <w:rFonts w:ascii="宋体" w:hAnsi="宋体"/>
          <w:color w:val="auto"/>
          <w:szCs w:val="21"/>
          <w:highlight w:val="none"/>
          <w:lang w:val="en-GB"/>
        </w:rPr>
        <w:t>1.</w:t>
      </w:r>
      <w:r>
        <w:rPr>
          <w:rFonts w:hint="eastAsia" w:ascii="宋体" w:hAnsi="宋体"/>
          <w:color w:val="auto"/>
          <w:szCs w:val="21"/>
          <w:highlight w:val="none"/>
        </w:rPr>
        <w:t>投标人应对照招标文件要求与报价的实际情况对招标文件中《用户需求书》的条款内容作全面响应。完全满足的在“响应栏”中打“√”，若有差异的请在“响应栏”中打“</w:t>
      </w:r>
      <w:r>
        <w:rPr>
          <w:rFonts w:hint="eastAsia"/>
          <w:color w:val="auto"/>
          <w:szCs w:val="21"/>
          <w:highlight w:val="none"/>
        </w:rPr>
        <w:t>Ο</w:t>
      </w:r>
      <w:r>
        <w:rPr>
          <w:rFonts w:hint="eastAsia" w:ascii="宋体" w:hAnsi="宋体"/>
          <w:color w:val="auto"/>
          <w:szCs w:val="21"/>
          <w:highlight w:val="none"/>
        </w:rPr>
        <w:t>”，并将差异情况在“差异栏”中说明。</w:t>
      </w:r>
    </w:p>
    <w:p>
      <w:pPr>
        <w:snapToGrid w:val="0"/>
        <w:spacing w:line="360" w:lineRule="auto"/>
        <w:ind w:left="735" w:leftChars="200" w:hanging="315" w:hangingChars="150"/>
        <w:rPr>
          <w:rFonts w:ascii="宋体"/>
          <w:color w:val="auto"/>
          <w:szCs w:val="21"/>
          <w:highlight w:val="none"/>
        </w:rPr>
      </w:pPr>
      <w:r>
        <w:rPr>
          <w:rFonts w:ascii="宋体" w:hAnsi="宋体"/>
          <w:color w:val="auto"/>
          <w:szCs w:val="21"/>
          <w:highlight w:val="none"/>
        </w:rPr>
        <w:t>2.</w:t>
      </w:r>
      <w:r>
        <w:rPr>
          <w:rFonts w:ascii="宋体" w:hAnsi="宋体"/>
          <w:color w:val="auto"/>
          <w:szCs w:val="21"/>
          <w:highlight w:val="none"/>
        </w:rPr>
        <w:tab/>
      </w:r>
      <w:r>
        <w:rPr>
          <w:rFonts w:hint="eastAsia" w:ascii="宋体" w:hAnsi="宋体"/>
          <w:color w:val="auto"/>
          <w:szCs w:val="21"/>
          <w:highlight w:val="none"/>
        </w:rPr>
        <w:t>如投标人不填写或填写不完全，或所投产品与招标文件要求存在差异而没有在上表列明的，评标委员会有权认定该投标为无效投标。</w:t>
      </w:r>
    </w:p>
    <w:p>
      <w:pPr>
        <w:snapToGrid w:val="0"/>
        <w:spacing w:line="360" w:lineRule="auto"/>
        <w:ind w:left="735" w:leftChars="200" w:hanging="315" w:hangingChars="150"/>
        <w:rPr>
          <w:rFonts w:asci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投标人投标的内容与招标文件的技术有差异时，无论这种差异是否有利于采购人，投标人都应按上述格式如实详细填写。</w:t>
      </w:r>
    </w:p>
    <w:p>
      <w:pPr>
        <w:rPr>
          <w:color w:val="auto"/>
          <w:highlight w:val="none"/>
          <w:lang w:val="en-GB"/>
        </w:rPr>
      </w:pPr>
    </w:p>
    <w:p>
      <w:pPr>
        <w:adjustRightInd w:val="0"/>
        <w:snapToGrid w:val="0"/>
        <w:spacing w:line="360" w:lineRule="auto"/>
        <w:rPr>
          <w:rFonts w:ascii="宋体" w:cs="宋体"/>
          <w:color w:val="auto"/>
          <w:szCs w:val="21"/>
          <w:highlight w:val="none"/>
        </w:rPr>
      </w:pPr>
    </w:p>
    <w:p>
      <w:pPr>
        <w:adjustRightInd w:val="0"/>
        <w:snapToGrid w:val="0"/>
        <w:spacing w:line="360" w:lineRule="auto"/>
        <w:rPr>
          <w:rFonts w:ascii="宋体" w:cs="宋体"/>
          <w:color w:val="auto"/>
          <w:szCs w:val="21"/>
          <w:highlight w:val="none"/>
        </w:rPr>
      </w:pPr>
    </w:p>
    <w:p>
      <w:pPr>
        <w:adjustRightInd w:val="0"/>
        <w:snapToGrid w:val="0"/>
        <w:spacing w:line="360" w:lineRule="auto"/>
        <w:rPr>
          <w:rFonts w:ascii="宋体" w:cs="宋体"/>
          <w:color w:val="auto"/>
          <w:szCs w:val="21"/>
          <w:highlight w:val="none"/>
          <w:u w:val="single"/>
        </w:rPr>
      </w:pPr>
      <w:r>
        <w:rPr>
          <w:rFonts w:hint="eastAsia" w:ascii="宋体" w:hAnsi="宋体" w:cs="宋体"/>
          <w:color w:val="auto"/>
          <w:szCs w:val="21"/>
          <w:highlight w:val="none"/>
        </w:rPr>
        <w:t>投标人名称（盖章）：</w:t>
      </w:r>
    </w:p>
    <w:p>
      <w:pPr>
        <w:adjustRightInd w:val="0"/>
        <w:snapToGrid w:val="0"/>
        <w:spacing w:before="120" w:beforeLines="50" w:after="120" w:afterLines="50" w:line="360" w:lineRule="auto"/>
        <w:rPr>
          <w:rFonts w:ascii="宋体" w:cs="宋体"/>
          <w:color w:val="auto"/>
          <w:szCs w:val="21"/>
          <w:highlight w:val="none"/>
        </w:rPr>
      </w:pPr>
      <w:r>
        <w:rPr>
          <w:rFonts w:hint="eastAsia" w:ascii="宋体" w:hAnsi="宋体" w:cs="宋体"/>
          <w:color w:val="auto"/>
          <w:szCs w:val="21"/>
          <w:highlight w:val="none"/>
        </w:rPr>
        <w:t>投标人法定代表人（或法定代表人授权代表）签字：</w:t>
      </w:r>
    </w:p>
    <w:p>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日期：年月日</w:t>
      </w:r>
    </w:p>
    <w:p>
      <w:pPr>
        <w:adjustRightInd w:val="0"/>
        <w:snapToGrid w:val="0"/>
        <w:spacing w:line="360" w:lineRule="auto"/>
        <w:rPr>
          <w:rFonts w:ascii="宋体" w:cs="宋体"/>
          <w:color w:val="auto"/>
          <w:szCs w:val="21"/>
          <w:highlight w:val="none"/>
        </w:rPr>
      </w:pPr>
    </w:p>
    <w:p>
      <w:pPr>
        <w:adjustRightInd w:val="0"/>
        <w:snapToGrid w:val="0"/>
        <w:spacing w:line="360" w:lineRule="auto"/>
        <w:rPr>
          <w:rFonts w:ascii="宋体" w:cs="宋体"/>
          <w:color w:val="auto"/>
          <w:szCs w:val="21"/>
          <w:highlight w:val="none"/>
        </w:rPr>
      </w:pPr>
    </w:p>
    <w:p>
      <w:pPr>
        <w:pStyle w:val="2"/>
      </w:pPr>
    </w:p>
    <w:p>
      <w:pPr>
        <w:adjustRightInd w:val="0"/>
        <w:snapToGrid w:val="0"/>
        <w:spacing w:line="360" w:lineRule="auto"/>
        <w:rPr>
          <w:rFonts w:ascii="宋体" w:cs="宋体"/>
          <w:color w:val="auto"/>
          <w:szCs w:val="21"/>
          <w:highlight w:val="none"/>
        </w:rPr>
      </w:pPr>
    </w:p>
    <w:p>
      <w:pPr>
        <w:pStyle w:val="7"/>
        <w:jc w:val="center"/>
        <w:rPr>
          <w:rFonts w:hAnsi="宋体" w:cs="宋体"/>
          <w:b/>
          <w:color w:val="auto"/>
          <w:sz w:val="24"/>
          <w:szCs w:val="24"/>
          <w:highlight w:val="none"/>
        </w:rPr>
      </w:pPr>
      <w:r>
        <w:rPr>
          <w:rFonts w:hAnsi="宋体" w:cs="宋体"/>
          <w:b/>
          <w:color w:val="auto"/>
          <w:sz w:val="24"/>
          <w:szCs w:val="24"/>
          <w:highlight w:val="none"/>
        </w:rPr>
        <w:t xml:space="preserve">5.2 </w:t>
      </w:r>
      <w:r>
        <w:rPr>
          <w:rFonts w:hint="eastAsia" w:hAnsi="宋体" w:cs="宋体"/>
          <w:b/>
          <w:color w:val="auto"/>
          <w:sz w:val="24"/>
          <w:szCs w:val="24"/>
          <w:highlight w:val="none"/>
        </w:rPr>
        <w:t>重要指标响应表</w:t>
      </w:r>
    </w:p>
    <w:tbl>
      <w:tblPr>
        <w:tblStyle w:val="55"/>
        <w:tblW w:w="956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7"/>
        <w:gridCol w:w="958"/>
        <w:gridCol w:w="637"/>
        <w:gridCol w:w="3187"/>
        <w:gridCol w:w="2869"/>
        <w:gridCol w:w="12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59" w:hRule="atLeast"/>
        </w:trPr>
        <w:tc>
          <w:tcPr>
            <w:tcW w:w="637" w:type="dxa"/>
            <w:shd w:val="clear" w:color="auto" w:fill="FFFFFF"/>
            <w:vAlign w:val="center"/>
          </w:tcPr>
          <w:p>
            <w:pPr>
              <w:jc w:val="center"/>
              <w:rPr>
                <w:rFonts w:ascii="宋体"/>
                <w:b/>
                <w:color w:val="auto"/>
                <w:szCs w:val="21"/>
                <w:highlight w:val="none"/>
              </w:rPr>
            </w:pPr>
            <w:r>
              <w:rPr>
                <w:rFonts w:hint="eastAsia" w:ascii="宋体" w:hAnsi="宋体"/>
                <w:b/>
                <w:color w:val="auto"/>
                <w:szCs w:val="21"/>
                <w:highlight w:val="none"/>
              </w:rPr>
              <w:t>序号</w:t>
            </w:r>
          </w:p>
        </w:tc>
        <w:tc>
          <w:tcPr>
            <w:tcW w:w="958" w:type="dxa"/>
            <w:shd w:val="clear" w:color="auto" w:fill="FFFFFF"/>
            <w:vAlign w:val="center"/>
          </w:tcPr>
          <w:p>
            <w:pPr>
              <w:jc w:val="center"/>
              <w:rPr>
                <w:rFonts w:ascii="宋体"/>
                <w:b/>
                <w:color w:val="auto"/>
                <w:szCs w:val="21"/>
                <w:highlight w:val="none"/>
              </w:rPr>
            </w:pPr>
            <w:r>
              <w:rPr>
                <w:rFonts w:hint="eastAsia" w:ascii="宋体" w:hAnsi="宋体"/>
                <w:b/>
                <w:color w:val="auto"/>
                <w:szCs w:val="21"/>
                <w:highlight w:val="none"/>
              </w:rPr>
              <w:t>招标文件页数</w:t>
            </w:r>
          </w:p>
        </w:tc>
        <w:tc>
          <w:tcPr>
            <w:tcW w:w="637" w:type="dxa"/>
            <w:shd w:val="clear" w:color="auto" w:fill="FFFFFF"/>
            <w:vAlign w:val="center"/>
          </w:tcPr>
          <w:p>
            <w:pPr>
              <w:jc w:val="center"/>
              <w:rPr>
                <w:rFonts w:ascii="宋体"/>
                <w:b/>
                <w:color w:val="auto"/>
                <w:szCs w:val="21"/>
                <w:highlight w:val="none"/>
              </w:rPr>
            </w:pPr>
            <w:r>
              <w:rPr>
                <w:rFonts w:hint="eastAsia" w:ascii="宋体" w:hAnsi="宋体" w:cs="Arial"/>
                <w:b/>
                <w:bCs/>
                <w:color w:val="auto"/>
                <w:szCs w:val="21"/>
                <w:highlight w:val="none"/>
              </w:rPr>
              <w:t>节</w:t>
            </w:r>
            <w:r>
              <w:rPr>
                <w:rFonts w:ascii="宋体" w:hAnsi="宋体" w:cs="Arial"/>
                <w:b/>
                <w:bCs/>
                <w:color w:val="auto"/>
                <w:szCs w:val="21"/>
                <w:highlight w:val="none"/>
              </w:rPr>
              <w:t>/</w:t>
            </w:r>
            <w:r>
              <w:rPr>
                <w:rFonts w:hint="eastAsia" w:ascii="宋体" w:hAnsi="宋体" w:cs="Arial"/>
                <w:b/>
                <w:bCs/>
                <w:color w:val="auto"/>
                <w:szCs w:val="21"/>
                <w:highlight w:val="none"/>
              </w:rPr>
              <w:t>段</w:t>
            </w:r>
          </w:p>
        </w:tc>
        <w:tc>
          <w:tcPr>
            <w:tcW w:w="3187" w:type="dxa"/>
            <w:shd w:val="clear" w:color="auto" w:fill="FFFFFF"/>
            <w:vAlign w:val="center"/>
          </w:tcPr>
          <w:p>
            <w:pPr>
              <w:jc w:val="center"/>
              <w:rPr>
                <w:rFonts w:ascii="宋体"/>
                <w:b/>
                <w:color w:val="auto"/>
                <w:highlight w:val="none"/>
              </w:rPr>
            </w:pPr>
            <w:r>
              <w:rPr>
                <w:rFonts w:hint="eastAsia" w:ascii="宋体" w:hAnsi="宋体"/>
                <w:b/>
                <w:color w:val="auto"/>
                <w:highlight w:val="none"/>
              </w:rPr>
              <w:t>招标要求（内容提要）</w:t>
            </w:r>
          </w:p>
        </w:tc>
        <w:tc>
          <w:tcPr>
            <w:tcW w:w="2869" w:type="dxa"/>
            <w:shd w:val="clear" w:color="auto" w:fill="FFFFFF"/>
            <w:vAlign w:val="center"/>
          </w:tcPr>
          <w:p>
            <w:pPr>
              <w:jc w:val="center"/>
              <w:rPr>
                <w:rFonts w:ascii="宋体"/>
                <w:b/>
                <w:color w:val="auto"/>
                <w:highlight w:val="none"/>
              </w:rPr>
            </w:pPr>
            <w:r>
              <w:rPr>
                <w:rFonts w:hint="eastAsia" w:ascii="宋体" w:hAnsi="宋体"/>
                <w:b/>
                <w:color w:val="auto"/>
                <w:highlight w:val="none"/>
              </w:rPr>
              <w:t>投标人应答</w:t>
            </w:r>
          </w:p>
        </w:tc>
        <w:tc>
          <w:tcPr>
            <w:tcW w:w="1275" w:type="dxa"/>
            <w:shd w:val="clear" w:color="auto" w:fill="FFFFFF"/>
            <w:vAlign w:val="center"/>
          </w:tcPr>
          <w:p>
            <w:pPr>
              <w:jc w:val="center"/>
              <w:rPr>
                <w:rFonts w:ascii="宋体"/>
                <w:b/>
                <w:color w:val="auto"/>
                <w:highlight w:val="none"/>
              </w:rPr>
            </w:pPr>
            <w:r>
              <w:rPr>
                <w:rFonts w:hint="eastAsia" w:ascii="宋体" w:hAnsi="宋体"/>
                <w:b/>
                <w:color w:val="auto"/>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trPr>
        <w:tc>
          <w:tcPr>
            <w:tcW w:w="637"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c>
          <w:tcPr>
            <w:tcW w:w="958" w:type="dxa"/>
            <w:shd w:val="clear" w:color="auto" w:fill="FFFFFF"/>
            <w:vAlign w:val="center"/>
          </w:tcPr>
          <w:p>
            <w:pPr>
              <w:spacing w:before="156" w:after="156" w:line="400" w:lineRule="exact"/>
              <w:rPr>
                <w:rFonts w:ascii="宋体"/>
                <w:color w:val="auto"/>
                <w:highlight w:val="none"/>
              </w:rPr>
            </w:pPr>
          </w:p>
        </w:tc>
        <w:tc>
          <w:tcPr>
            <w:tcW w:w="637"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c>
          <w:tcPr>
            <w:tcW w:w="3187"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c>
          <w:tcPr>
            <w:tcW w:w="2869" w:type="dxa"/>
            <w:shd w:val="clear" w:color="auto" w:fill="FFFFFF"/>
          </w:tcPr>
          <w:p>
            <w:pPr>
              <w:spacing w:before="156" w:after="156" w:line="400" w:lineRule="exact"/>
              <w:rPr>
                <w:rFonts w:ascii="宋体"/>
                <w:color w:val="auto"/>
                <w:highlight w:val="none"/>
              </w:rPr>
            </w:pPr>
            <w:r>
              <w:rPr>
                <w:rFonts w:ascii="宋体"/>
                <w:color w:val="auto"/>
                <w:highlight w:val="none"/>
              </w:rPr>
              <w:t> </w:t>
            </w:r>
          </w:p>
        </w:tc>
        <w:tc>
          <w:tcPr>
            <w:tcW w:w="1275"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14" w:hRule="atLeast"/>
        </w:trPr>
        <w:tc>
          <w:tcPr>
            <w:tcW w:w="637"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c>
          <w:tcPr>
            <w:tcW w:w="958" w:type="dxa"/>
            <w:shd w:val="clear" w:color="auto" w:fill="FFFFFF"/>
            <w:vAlign w:val="center"/>
          </w:tcPr>
          <w:p>
            <w:pPr>
              <w:spacing w:before="156" w:after="156" w:line="400" w:lineRule="exact"/>
              <w:rPr>
                <w:rFonts w:ascii="宋体"/>
                <w:color w:val="auto"/>
                <w:highlight w:val="none"/>
              </w:rPr>
            </w:pPr>
          </w:p>
        </w:tc>
        <w:tc>
          <w:tcPr>
            <w:tcW w:w="637"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c>
          <w:tcPr>
            <w:tcW w:w="3187"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c>
          <w:tcPr>
            <w:tcW w:w="2869" w:type="dxa"/>
            <w:shd w:val="clear" w:color="auto" w:fill="FFFFFF"/>
          </w:tcPr>
          <w:p>
            <w:pPr>
              <w:spacing w:before="156" w:after="156" w:line="400" w:lineRule="exact"/>
              <w:rPr>
                <w:rFonts w:ascii="宋体"/>
                <w:color w:val="auto"/>
                <w:highlight w:val="none"/>
              </w:rPr>
            </w:pPr>
            <w:r>
              <w:rPr>
                <w:rFonts w:ascii="宋体"/>
                <w:color w:val="auto"/>
                <w:highlight w:val="none"/>
              </w:rPr>
              <w:t> </w:t>
            </w:r>
          </w:p>
        </w:tc>
        <w:tc>
          <w:tcPr>
            <w:tcW w:w="1275"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14" w:hRule="atLeast"/>
        </w:trPr>
        <w:tc>
          <w:tcPr>
            <w:tcW w:w="637"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c>
          <w:tcPr>
            <w:tcW w:w="958" w:type="dxa"/>
            <w:shd w:val="clear" w:color="auto" w:fill="FFFFFF"/>
            <w:vAlign w:val="center"/>
          </w:tcPr>
          <w:p>
            <w:pPr>
              <w:spacing w:before="156" w:after="156" w:line="400" w:lineRule="exact"/>
              <w:rPr>
                <w:rFonts w:ascii="宋体"/>
                <w:color w:val="auto"/>
                <w:highlight w:val="none"/>
              </w:rPr>
            </w:pPr>
          </w:p>
        </w:tc>
        <w:tc>
          <w:tcPr>
            <w:tcW w:w="637"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c>
          <w:tcPr>
            <w:tcW w:w="3187"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c>
          <w:tcPr>
            <w:tcW w:w="2869" w:type="dxa"/>
            <w:shd w:val="clear" w:color="auto" w:fill="FFFFFF"/>
          </w:tcPr>
          <w:p>
            <w:pPr>
              <w:spacing w:before="156" w:after="156" w:line="400" w:lineRule="exact"/>
              <w:rPr>
                <w:rFonts w:ascii="宋体"/>
                <w:color w:val="auto"/>
                <w:highlight w:val="none"/>
              </w:rPr>
            </w:pPr>
            <w:r>
              <w:rPr>
                <w:rFonts w:ascii="宋体"/>
                <w:color w:val="auto"/>
                <w:highlight w:val="none"/>
              </w:rPr>
              <w:t> </w:t>
            </w:r>
          </w:p>
        </w:tc>
        <w:tc>
          <w:tcPr>
            <w:tcW w:w="1275"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trPr>
        <w:tc>
          <w:tcPr>
            <w:tcW w:w="637" w:type="dxa"/>
            <w:shd w:val="clear" w:color="auto" w:fill="FFFFFF"/>
          </w:tcPr>
          <w:p>
            <w:pPr>
              <w:spacing w:before="156" w:after="156" w:line="400" w:lineRule="exact"/>
              <w:rPr>
                <w:rFonts w:ascii="宋体"/>
                <w:b/>
                <w:color w:val="auto"/>
                <w:highlight w:val="none"/>
              </w:rPr>
            </w:pPr>
            <w:r>
              <w:rPr>
                <w:rFonts w:ascii="宋体"/>
                <w:b/>
                <w:color w:val="auto"/>
                <w:highlight w:val="none"/>
              </w:rPr>
              <w:t> </w:t>
            </w:r>
          </w:p>
        </w:tc>
        <w:tc>
          <w:tcPr>
            <w:tcW w:w="958" w:type="dxa"/>
            <w:shd w:val="clear" w:color="auto" w:fill="FFFFFF"/>
          </w:tcPr>
          <w:p>
            <w:pPr>
              <w:spacing w:before="156" w:after="156" w:line="400" w:lineRule="exact"/>
              <w:rPr>
                <w:rFonts w:ascii="宋体"/>
                <w:b/>
                <w:color w:val="auto"/>
                <w:highlight w:val="none"/>
              </w:rPr>
            </w:pPr>
          </w:p>
        </w:tc>
        <w:tc>
          <w:tcPr>
            <w:tcW w:w="637" w:type="dxa"/>
            <w:shd w:val="clear" w:color="auto" w:fill="FFFFFF"/>
          </w:tcPr>
          <w:p>
            <w:pPr>
              <w:spacing w:before="156" w:after="156" w:line="400" w:lineRule="exact"/>
              <w:rPr>
                <w:rFonts w:ascii="宋体"/>
                <w:b/>
                <w:color w:val="auto"/>
                <w:highlight w:val="none"/>
              </w:rPr>
            </w:pPr>
            <w:r>
              <w:rPr>
                <w:rFonts w:ascii="宋体"/>
                <w:b/>
                <w:color w:val="auto"/>
                <w:highlight w:val="none"/>
              </w:rPr>
              <w:t> </w:t>
            </w:r>
          </w:p>
        </w:tc>
        <w:tc>
          <w:tcPr>
            <w:tcW w:w="3187" w:type="dxa"/>
            <w:shd w:val="clear" w:color="auto" w:fill="FFFFFF"/>
          </w:tcPr>
          <w:p>
            <w:pPr>
              <w:spacing w:before="156" w:after="156" w:line="400" w:lineRule="exact"/>
              <w:rPr>
                <w:rFonts w:ascii="宋体"/>
                <w:b/>
                <w:color w:val="auto"/>
                <w:highlight w:val="none"/>
              </w:rPr>
            </w:pPr>
            <w:r>
              <w:rPr>
                <w:rFonts w:ascii="宋体"/>
                <w:b/>
                <w:color w:val="auto"/>
                <w:highlight w:val="none"/>
              </w:rPr>
              <w:t> </w:t>
            </w:r>
          </w:p>
        </w:tc>
        <w:tc>
          <w:tcPr>
            <w:tcW w:w="2869" w:type="dxa"/>
            <w:shd w:val="clear" w:color="auto" w:fill="FFFFFF"/>
          </w:tcPr>
          <w:p>
            <w:pPr>
              <w:spacing w:before="156" w:after="156" w:line="400" w:lineRule="exact"/>
              <w:rPr>
                <w:rFonts w:ascii="宋体"/>
                <w:color w:val="auto"/>
                <w:highlight w:val="none"/>
              </w:rPr>
            </w:pPr>
            <w:r>
              <w:rPr>
                <w:rFonts w:ascii="宋体"/>
                <w:color w:val="auto"/>
                <w:highlight w:val="none"/>
              </w:rPr>
              <w:t> </w:t>
            </w:r>
          </w:p>
        </w:tc>
        <w:tc>
          <w:tcPr>
            <w:tcW w:w="1275"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33" w:hRule="atLeast"/>
        </w:trPr>
        <w:tc>
          <w:tcPr>
            <w:tcW w:w="637" w:type="dxa"/>
            <w:shd w:val="clear" w:color="auto" w:fill="FFFFFF"/>
          </w:tcPr>
          <w:p>
            <w:pPr>
              <w:spacing w:before="156" w:after="156" w:line="400" w:lineRule="exact"/>
              <w:rPr>
                <w:rFonts w:ascii="宋体"/>
                <w:color w:val="auto"/>
                <w:highlight w:val="none"/>
              </w:rPr>
            </w:pPr>
            <w:r>
              <w:rPr>
                <w:rFonts w:ascii="宋体"/>
                <w:color w:val="auto"/>
                <w:highlight w:val="none"/>
              </w:rPr>
              <w:t> </w:t>
            </w:r>
          </w:p>
        </w:tc>
        <w:tc>
          <w:tcPr>
            <w:tcW w:w="958" w:type="dxa"/>
            <w:shd w:val="clear" w:color="auto" w:fill="FFFFFF"/>
          </w:tcPr>
          <w:p>
            <w:pPr>
              <w:spacing w:before="156" w:after="156" w:line="400" w:lineRule="exact"/>
              <w:rPr>
                <w:rFonts w:ascii="宋体"/>
                <w:color w:val="auto"/>
                <w:highlight w:val="none"/>
              </w:rPr>
            </w:pPr>
          </w:p>
        </w:tc>
        <w:tc>
          <w:tcPr>
            <w:tcW w:w="637" w:type="dxa"/>
            <w:shd w:val="clear" w:color="auto" w:fill="FFFFFF"/>
          </w:tcPr>
          <w:p>
            <w:pPr>
              <w:spacing w:before="156" w:after="156" w:line="400" w:lineRule="exact"/>
              <w:rPr>
                <w:rFonts w:ascii="宋体"/>
                <w:color w:val="auto"/>
                <w:highlight w:val="none"/>
              </w:rPr>
            </w:pPr>
            <w:r>
              <w:rPr>
                <w:rFonts w:ascii="宋体"/>
                <w:color w:val="auto"/>
                <w:highlight w:val="none"/>
              </w:rPr>
              <w:t> </w:t>
            </w:r>
          </w:p>
        </w:tc>
        <w:tc>
          <w:tcPr>
            <w:tcW w:w="3187" w:type="dxa"/>
            <w:shd w:val="clear" w:color="auto" w:fill="FFFFFF"/>
          </w:tcPr>
          <w:p>
            <w:pPr>
              <w:spacing w:before="156" w:after="156" w:line="400" w:lineRule="exact"/>
              <w:rPr>
                <w:rFonts w:ascii="宋体"/>
                <w:color w:val="auto"/>
                <w:highlight w:val="none"/>
              </w:rPr>
            </w:pPr>
            <w:r>
              <w:rPr>
                <w:rFonts w:ascii="宋体"/>
                <w:color w:val="auto"/>
                <w:highlight w:val="none"/>
              </w:rPr>
              <w:t> </w:t>
            </w:r>
          </w:p>
        </w:tc>
        <w:tc>
          <w:tcPr>
            <w:tcW w:w="2869" w:type="dxa"/>
            <w:shd w:val="clear" w:color="auto" w:fill="FFFFFF"/>
          </w:tcPr>
          <w:p>
            <w:pPr>
              <w:spacing w:before="156" w:after="156" w:line="400" w:lineRule="exact"/>
              <w:rPr>
                <w:rFonts w:ascii="宋体"/>
                <w:color w:val="auto"/>
                <w:highlight w:val="none"/>
              </w:rPr>
            </w:pPr>
            <w:r>
              <w:rPr>
                <w:rFonts w:ascii="宋体"/>
                <w:color w:val="auto"/>
                <w:highlight w:val="none"/>
              </w:rPr>
              <w:t> </w:t>
            </w:r>
          </w:p>
        </w:tc>
        <w:tc>
          <w:tcPr>
            <w:tcW w:w="1275" w:type="dxa"/>
            <w:shd w:val="clear" w:color="auto" w:fill="FFFFFF"/>
            <w:vAlign w:val="center"/>
          </w:tcPr>
          <w:p>
            <w:pPr>
              <w:spacing w:before="156" w:after="156" w:line="400" w:lineRule="exact"/>
              <w:rPr>
                <w:rFonts w:ascii="宋体"/>
                <w:color w:val="auto"/>
                <w:highlight w:val="none"/>
              </w:rPr>
            </w:pPr>
            <w:r>
              <w:rPr>
                <w:rFonts w:ascii="宋体"/>
                <w:color w:val="auto"/>
                <w:highlight w:val="none"/>
              </w:rPr>
              <w:t> </w:t>
            </w:r>
          </w:p>
        </w:tc>
      </w:tr>
    </w:tbl>
    <w:p>
      <w:pPr>
        <w:spacing w:line="360" w:lineRule="auto"/>
        <w:rPr>
          <w:rFonts w:ascii="宋体" w:cs="宋体"/>
          <w:color w:val="auto"/>
          <w:szCs w:val="21"/>
          <w:highlight w:val="none"/>
        </w:rPr>
      </w:pPr>
    </w:p>
    <w:p>
      <w:pPr>
        <w:pStyle w:val="5"/>
        <w:spacing w:line="360" w:lineRule="auto"/>
        <w:ind w:left="0"/>
        <w:rPr>
          <w:bCs/>
          <w:color w:val="auto"/>
          <w:sz w:val="21"/>
          <w:szCs w:val="21"/>
          <w:highlight w:val="none"/>
        </w:rPr>
      </w:pPr>
      <w:r>
        <w:rPr>
          <w:rFonts w:hint="eastAsia"/>
          <w:bCs/>
          <w:color w:val="auto"/>
          <w:sz w:val="21"/>
          <w:szCs w:val="21"/>
          <w:highlight w:val="none"/>
        </w:rPr>
        <w:t>注：如招标文件中标有“</w:t>
      </w:r>
      <w:r>
        <w:rPr>
          <w:rFonts w:hint="eastAsia" w:ascii="宋体" w:hAnsi="宋体"/>
          <w:color w:val="auto"/>
          <w:sz w:val="21"/>
          <w:szCs w:val="21"/>
          <w:highlight w:val="none"/>
        </w:rPr>
        <w:t>★</w:t>
      </w:r>
      <w:r>
        <w:rPr>
          <w:rFonts w:hint="eastAsia"/>
          <w:bCs/>
          <w:color w:val="auto"/>
          <w:sz w:val="21"/>
          <w:szCs w:val="21"/>
          <w:highlight w:val="none"/>
        </w:rPr>
        <w:t>”、“重要指标”或投标人认为重要的内容，请在上表填写。</w:t>
      </w:r>
    </w:p>
    <w:p>
      <w:pPr>
        <w:pStyle w:val="5"/>
        <w:spacing w:line="360" w:lineRule="auto"/>
        <w:rPr>
          <w:color w:val="auto"/>
          <w:highlight w:val="none"/>
        </w:rPr>
      </w:pPr>
    </w:p>
    <w:p>
      <w:pPr>
        <w:pStyle w:val="5"/>
        <w:spacing w:line="360" w:lineRule="auto"/>
        <w:ind w:left="0"/>
        <w:rPr>
          <w:color w:val="auto"/>
          <w:highlight w:val="none"/>
        </w:rPr>
      </w:pPr>
    </w:p>
    <w:p>
      <w:pPr>
        <w:pStyle w:val="5"/>
        <w:spacing w:line="360" w:lineRule="auto"/>
        <w:ind w:left="0"/>
        <w:rPr>
          <w:color w:val="auto"/>
          <w:highlight w:val="none"/>
        </w:rPr>
      </w:pPr>
    </w:p>
    <w:p>
      <w:pPr>
        <w:pStyle w:val="5"/>
        <w:spacing w:line="360" w:lineRule="auto"/>
        <w:ind w:left="0"/>
        <w:rPr>
          <w:color w:val="auto"/>
          <w:highlight w:val="none"/>
        </w:rPr>
      </w:pPr>
    </w:p>
    <w:p>
      <w:pPr>
        <w:pStyle w:val="5"/>
        <w:spacing w:line="360" w:lineRule="auto"/>
        <w:ind w:left="0"/>
        <w:rPr>
          <w:color w:val="auto"/>
          <w:highlight w:val="none"/>
        </w:rPr>
      </w:pPr>
    </w:p>
    <w:p>
      <w:pPr>
        <w:adjustRightInd w:val="0"/>
        <w:snapToGrid w:val="0"/>
        <w:spacing w:line="360" w:lineRule="auto"/>
        <w:rPr>
          <w:rFonts w:ascii="宋体" w:cs="宋体"/>
          <w:color w:val="auto"/>
          <w:szCs w:val="21"/>
          <w:highlight w:val="none"/>
          <w:u w:val="single"/>
        </w:rPr>
      </w:pPr>
      <w:r>
        <w:rPr>
          <w:rFonts w:hint="eastAsia" w:ascii="宋体" w:hAnsi="宋体" w:cs="宋体"/>
          <w:color w:val="auto"/>
          <w:szCs w:val="21"/>
          <w:highlight w:val="none"/>
        </w:rPr>
        <w:t>投标人名称（盖章）：</w:t>
      </w:r>
    </w:p>
    <w:p>
      <w:pPr>
        <w:adjustRightInd w:val="0"/>
        <w:snapToGrid w:val="0"/>
        <w:spacing w:before="120" w:beforeLines="50" w:after="120" w:afterLines="50" w:line="360" w:lineRule="auto"/>
        <w:rPr>
          <w:rFonts w:ascii="宋体" w:cs="宋体"/>
          <w:color w:val="auto"/>
          <w:szCs w:val="21"/>
          <w:highlight w:val="none"/>
        </w:rPr>
      </w:pPr>
      <w:r>
        <w:rPr>
          <w:rFonts w:hint="eastAsia" w:ascii="宋体" w:hAnsi="宋体" w:cs="宋体"/>
          <w:color w:val="auto"/>
          <w:szCs w:val="21"/>
          <w:highlight w:val="none"/>
        </w:rPr>
        <w:t>投标人法定代表人（或法定代表人授权代表）签字：</w:t>
      </w:r>
    </w:p>
    <w:p>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日期：年月日</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rPr>
          <w:rFonts w:ascii="宋体" w:cs="宋体"/>
          <w:color w:val="auto"/>
          <w:szCs w:val="21"/>
          <w:highlight w:val="none"/>
        </w:rPr>
      </w:pPr>
    </w:p>
    <w:p>
      <w:pPr>
        <w:pStyle w:val="2"/>
      </w:pPr>
    </w:p>
    <w:p>
      <w:pPr>
        <w:pStyle w:val="53"/>
        <w:ind w:firstLine="240"/>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pStyle w:val="7"/>
        <w:jc w:val="center"/>
        <w:rPr>
          <w:rFonts w:hAnsi="宋体" w:cs="宋体"/>
          <w:b/>
          <w:color w:val="auto"/>
          <w:sz w:val="24"/>
          <w:szCs w:val="24"/>
          <w:highlight w:val="none"/>
        </w:rPr>
      </w:pPr>
    </w:p>
    <w:p>
      <w:pPr>
        <w:pStyle w:val="7"/>
        <w:jc w:val="center"/>
        <w:rPr>
          <w:rFonts w:hAnsi="宋体" w:cs="宋体"/>
          <w:b/>
          <w:color w:val="auto"/>
          <w:sz w:val="24"/>
          <w:szCs w:val="24"/>
          <w:highlight w:val="none"/>
        </w:rPr>
      </w:pPr>
      <w:r>
        <w:rPr>
          <w:rFonts w:hAnsi="宋体" w:cs="宋体"/>
          <w:b/>
          <w:color w:val="auto"/>
          <w:sz w:val="24"/>
          <w:szCs w:val="24"/>
          <w:highlight w:val="none"/>
        </w:rPr>
        <w:t xml:space="preserve">5.3  </w:t>
      </w:r>
      <w:r>
        <w:rPr>
          <w:rFonts w:hint="eastAsia" w:hAnsi="宋体" w:cs="宋体"/>
          <w:b/>
          <w:color w:val="auto"/>
          <w:sz w:val="24"/>
          <w:szCs w:val="24"/>
          <w:highlight w:val="none"/>
        </w:rPr>
        <w:t>项目总体实施方案</w:t>
      </w:r>
    </w:p>
    <w:p>
      <w:pPr>
        <w:spacing w:line="360" w:lineRule="auto"/>
        <w:jc w:val="center"/>
        <w:rPr>
          <w:rFonts w:ascii="宋体" w:cs="宋体"/>
          <w:b/>
          <w:snapToGrid w:val="0"/>
          <w:color w:val="auto"/>
          <w:sz w:val="24"/>
          <w:szCs w:val="24"/>
          <w:highlight w:val="none"/>
        </w:rPr>
      </w:pPr>
    </w:p>
    <w:p>
      <w:pPr>
        <w:adjustRightInd w:val="0"/>
        <w:snapToGrid w:val="0"/>
        <w:spacing w:line="360" w:lineRule="auto"/>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adjustRightInd w:val="0"/>
        <w:snapToGrid w:val="0"/>
        <w:spacing w:line="360" w:lineRule="auto"/>
        <w:rPr>
          <w:rFonts w:ascii="宋体" w:cs="宋体"/>
          <w:color w:val="auto"/>
          <w:szCs w:val="21"/>
          <w:highlight w:val="none"/>
        </w:rPr>
      </w:pPr>
    </w:p>
    <w:p>
      <w:pPr>
        <w:adjustRightInd w:val="0"/>
        <w:snapToGrid w:val="0"/>
        <w:spacing w:line="360" w:lineRule="auto"/>
        <w:rPr>
          <w:rFonts w:ascii="宋体" w:cs="宋体"/>
          <w:color w:val="auto"/>
          <w:szCs w:val="21"/>
          <w:highlight w:val="none"/>
        </w:rPr>
      </w:pPr>
    </w:p>
    <w:p>
      <w:pPr>
        <w:adjustRightInd w:val="0"/>
        <w:snapToGrid w:val="0"/>
        <w:spacing w:line="360" w:lineRule="auto"/>
        <w:rPr>
          <w:rFonts w:ascii="宋体" w:cs="宋体"/>
          <w:color w:val="auto"/>
          <w:szCs w:val="21"/>
          <w:highlight w:val="none"/>
        </w:rPr>
      </w:pPr>
    </w:p>
    <w:p>
      <w:pPr>
        <w:adjustRightInd w:val="0"/>
        <w:snapToGrid w:val="0"/>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投标人名称（盖章）：</w:t>
      </w:r>
    </w:p>
    <w:p>
      <w:pPr>
        <w:spacing w:line="360" w:lineRule="auto"/>
        <w:rPr>
          <w:rFonts w:ascii="宋体" w:cs="宋体"/>
          <w:color w:val="auto"/>
          <w:szCs w:val="21"/>
          <w:highlight w:val="none"/>
        </w:rPr>
      </w:pPr>
      <w:r>
        <w:rPr>
          <w:rFonts w:hint="eastAsia" w:ascii="宋体" w:hAnsi="宋体" w:cs="宋体"/>
          <w:color w:val="auto"/>
          <w:szCs w:val="21"/>
          <w:highlight w:val="none"/>
        </w:rPr>
        <w:t>投标人法定代表人（或法定代表人授权代表）签字：</w:t>
      </w:r>
    </w:p>
    <w:p>
      <w:pPr>
        <w:spacing w:line="360" w:lineRule="auto"/>
        <w:rPr>
          <w:rFonts w:ascii="宋体" w:cs="宋体"/>
          <w:color w:val="auto"/>
          <w:szCs w:val="21"/>
          <w:highlight w:val="none"/>
        </w:rPr>
      </w:pPr>
      <w:r>
        <w:rPr>
          <w:rFonts w:hint="eastAsia" w:ascii="宋体" w:hAnsi="宋体" w:cs="宋体"/>
          <w:color w:val="auto"/>
          <w:szCs w:val="21"/>
          <w:highlight w:val="none"/>
        </w:rPr>
        <w:t>日期：年月日</w:t>
      </w:r>
    </w:p>
    <w:p>
      <w:pPr>
        <w:rPr>
          <w:color w:val="auto"/>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pStyle w:val="53"/>
        <w:ind w:firstLine="240"/>
        <w:rPr>
          <w:rFonts w:ascii="宋体" w:cs="宋体"/>
          <w:color w:val="auto"/>
          <w:szCs w:val="21"/>
          <w:highlight w:val="none"/>
        </w:rPr>
      </w:pPr>
    </w:p>
    <w:p>
      <w:pPr>
        <w:pStyle w:val="53"/>
        <w:ind w:firstLine="240"/>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center"/>
        <w:rPr>
          <w:rFonts w:ascii="宋体" w:cs="宋体"/>
          <w:color w:val="auto"/>
          <w:szCs w:val="21"/>
          <w:highlight w:val="none"/>
        </w:rPr>
      </w:pPr>
    </w:p>
    <w:p>
      <w:pPr>
        <w:spacing w:line="360" w:lineRule="auto"/>
        <w:jc w:val="both"/>
        <w:rPr>
          <w:rFonts w:ascii="宋体" w:cs="宋体"/>
          <w:color w:val="auto"/>
          <w:szCs w:val="21"/>
          <w:highlight w:val="none"/>
        </w:rPr>
      </w:pPr>
    </w:p>
    <w:p>
      <w:pPr>
        <w:pStyle w:val="4"/>
        <w:spacing w:before="120" w:after="120"/>
        <w:rPr>
          <w:rFonts w:hAnsi="宋体" w:cs="宋体"/>
          <w:bCs/>
          <w:color w:val="auto"/>
          <w:sz w:val="24"/>
          <w:szCs w:val="21"/>
          <w:highlight w:val="none"/>
        </w:rPr>
      </w:pPr>
      <w:r>
        <w:rPr>
          <w:rFonts w:hint="eastAsia" w:hAnsi="宋体" w:cs="宋体"/>
          <w:bCs/>
          <w:color w:val="auto"/>
          <w:sz w:val="24"/>
          <w:szCs w:val="21"/>
          <w:highlight w:val="none"/>
        </w:rPr>
        <w:t>提供相关评审资料原件附表</w:t>
      </w:r>
    </w:p>
    <w:p>
      <w:pPr>
        <w:spacing w:line="360" w:lineRule="auto"/>
        <w:ind w:right="206" w:rightChars="98" w:firstLine="435"/>
        <w:rPr>
          <w:rFonts w:ascii="宋体" w:cs="宋体"/>
          <w:b/>
          <w:color w:val="auto"/>
          <w:sz w:val="24"/>
          <w:szCs w:val="21"/>
          <w:highlight w:val="none"/>
        </w:rPr>
      </w:pPr>
      <w:r>
        <w:rPr>
          <w:rFonts w:hint="eastAsia" w:ascii="宋体" w:hAnsi="宋体" w:cs="宋体"/>
          <w:b/>
          <w:color w:val="auto"/>
          <w:sz w:val="24"/>
          <w:szCs w:val="21"/>
          <w:highlight w:val="none"/>
        </w:rPr>
        <w:t>此表不用装订在投标文件中，随原件在投标截止时间前递交。</w:t>
      </w:r>
    </w:p>
    <w:p>
      <w:pPr>
        <w:spacing w:line="360" w:lineRule="auto"/>
        <w:ind w:right="206" w:rightChars="98"/>
        <w:jc w:val="center"/>
        <w:rPr>
          <w:rFonts w:ascii="宋体" w:cs="宋体"/>
          <w:color w:val="auto"/>
          <w:sz w:val="28"/>
          <w:szCs w:val="28"/>
          <w:highlight w:val="none"/>
        </w:rPr>
      </w:pPr>
      <w:r>
        <w:rPr>
          <w:rFonts w:hint="eastAsia" w:ascii="宋体" w:hAnsi="宋体" w:cs="宋体"/>
          <w:b/>
          <w:color w:val="auto"/>
          <w:sz w:val="28"/>
          <w:szCs w:val="28"/>
          <w:highlight w:val="none"/>
        </w:rPr>
        <w:t>评审资料原件目录</w:t>
      </w:r>
    </w:p>
    <w:tbl>
      <w:tblPr>
        <w:tblStyle w:val="55"/>
        <w:tblW w:w="10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36"/>
        <w:gridCol w:w="1985"/>
        <w:gridCol w:w="1208"/>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81"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序号</w:t>
            </w:r>
          </w:p>
        </w:tc>
        <w:tc>
          <w:tcPr>
            <w:tcW w:w="3936"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资料名称</w:t>
            </w:r>
          </w:p>
        </w:tc>
        <w:tc>
          <w:tcPr>
            <w:tcW w:w="1985"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件数</w:t>
            </w:r>
          </w:p>
        </w:tc>
        <w:tc>
          <w:tcPr>
            <w:tcW w:w="1208"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备注</w:t>
            </w:r>
          </w:p>
        </w:tc>
        <w:tc>
          <w:tcPr>
            <w:tcW w:w="2269"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招标代理确认件数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81" w:type="dxa"/>
            <w:vAlign w:val="center"/>
          </w:tcPr>
          <w:p>
            <w:pPr>
              <w:spacing w:line="360" w:lineRule="auto"/>
              <w:jc w:val="center"/>
              <w:rPr>
                <w:rFonts w:ascii="宋体" w:cs="宋体"/>
                <w:color w:val="auto"/>
                <w:szCs w:val="21"/>
                <w:highlight w:val="none"/>
              </w:rPr>
            </w:pPr>
            <w:r>
              <w:rPr>
                <w:rFonts w:ascii="宋体" w:hAnsi="宋体" w:cs="宋体"/>
                <w:color w:val="auto"/>
                <w:szCs w:val="21"/>
                <w:highlight w:val="none"/>
              </w:rPr>
              <w:t>1</w:t>
            </w:r>
          </w:p>
        </w:tc>
        <w:tc>
          <w:tcPr>
            <w:tcW w:w="3936" w:type="dxa"/>
            <w:vAlign w:val="center"/>
          </w:tcPr>
          <w:p>
            <w:pPr>
              <w:spacing w:line="360" w:lineRule="auto"/>
              <w:jc w:val="center"/>
              <w:rPr>
                <w:rFonts w:ascii="宋体" w:cs="宋体"/>
                <w:color w:val="auto"/>
                <w:szCs w:val="21"/>
                <w:highlight w:val="none"/>
              </w:rPr>
            </w:pPr>
          </w:p>
        </w:tc>
        <w:tc>
          <w:tcPr>
            <w:tcW w:w="1985" w:type="dxa"/>
            <w:vAlign w:val="center"/>
          </w:tcPr>
          <w:p>
            <w:pPr>
              <w:spacing w:line="360" w:lineRule="auto"/>
              <w:jc w:val="center"/>
              <w:rPr>
                <w:rFonts w:ascii="宋体" w:cs="宋体"/>
                <w:color w:val="auto"/>
                <w:szCs w:val="21"/>
                <w:highlight w:val="none"/>
              </w:rPr>
            </w:pPr>
          </w:p>
        </w:tc>
        <w:tc>
          <w:tcPr>
            <w:tcW w:w="1208" w:type="dxa"/>
            <w:vAlign w:val="center"/>
          </w:tcPr>
          <w:p>
            <w:pPr>
              <w:spacing w:line="360" w:lineRule="auto"/>
              <w:jc w:val="center"/>
              <w:rPr>
                <w:rFonts w:ascii="宋体" w:cs="宋体"/>
                <w:color w:val="auto"/>
                <w:szCs w:val="21"/>
                <w:highlight w:val="none"/>
              </w:rPr>
            </w:pPr>
          </w:p>
        </w:tc>
        <w:tc>
          <w:tcPr>
            <w:tcW w:w="2269"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81" w:type="dxa"/>
            <w:vAlign w:val="center"/>
          </w:tcPr>
          <w:p>
            <w:pPr>
              <w:spacing w:line="360" w:lineRule="auto"/>
              <w:jc w:val="center"/>
              <w:rPr>
                <w:rFonts w:ascii="宋体" w:cs="宋体"/>
                <w:color w:val="auto"/>
                <w:szCs w:val="21"/>
                <w:highlight w:val="none"/>
              </w:rPr>
            </w:pPr>
            <w:r>
              <w:rPr>
                <w:rFonts w:ascii="宋体" w:hAnsi="宋体" w:cs="宋体"/>
                <w:color w:val="auto"/>
                <w:szCs w:val="21"/>
                <w:highlight w:val="none"/>
              </w:rPr>
              <w:t>2</w:t>
            </w:r>
          </w:p>
        </w:tc>
        <w:tc>
          <w:tcPr>
            <w:tcW w:w="3936" w:type="dxa"/>
            <w:vAlign w:val="center"/>
          </w:tcPr>
          <w:p>
            <w:pPr>
              <w:spacing w:line="360" w:lineRule="auto"/>
              <w:jc w:val="center"/>
              <w:rPr>
                <w:rFonts w:ascii="宋体" w:cs="宋体"/>
                <w:color w:val="auto"/>
                <w:szCs w:val="21"/>
                <w:highlight w:val="none"/>
              </w:rPr>
            </w:pPr>
          </w:p>
        </w:tc>
        <w:tc>
          <w:tcPr>
            <w:tcW w:w="1985" w:type="dxa"/>
            <w:vAlign w:val="center"/>
          </w:tcPr>
          <w:p>
            <w:pPr>
              <w:spacing w:line="360" w:lineRule="auto"/>
              <w:jc w:val="center"/>
              <w:rPr>
                <w:rFonts w:ascii="宋体" w:cs="宋体"/>
                <w:color w:val="auto"/>
                <w:szCs w:val="21"/>
                <w:highlight w:val="none"/>
              </w:rPr>
            </w:pPr>
          </w:p>
        </w:tc>
        <w:tc>
          <w:tcPr>
            <w:tcW w:w="1208" w:type="dxa"/>
            <w:vAlign w:val="center"/>
          </w:tcPr>
          <w:p>
            <w:pPr>
              <w:spacing w:line="360" w:lineRule="auto"/>
              <w:jc w:val="center"/>
              <w:rPr>
                <w:rFonts w:ascii="宋体" w:cs="宋体"/>
                <w:color w:val="auto"/>
                <w:szCs w:val="21"/>
                <w:highlight w:val="none"/>
              </w:rPr>
            </w:pPr>
          </w:p>
        </w:tc>
        <w:tc>
          <w:tcPr>
            <w:tcW w:w="2269"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81" w:type="dxa"/>
            <w:vAlign w:val="center"/>
          </w:tcPr>
          <w:p>
            <w:pPr>
              <w:spacing w:line="360" w:lineRule="auto"/>
              <w:jc w:val="center"/>
              <w:rPr>
                <w:rFonts w:ascii="宋体" w:cs="宋体"/>
                <w:color w:val="auto"/>
                <w:szCs w:val="21"/>
                <w:highlight w:val="none"/>
              </w:rPr>
            </w:pPr>
            <w:r>
              <w:rPr>
                <w:rFonts w:ascii="宋体" w:hAnsi="宋体" w:cs="宋体"/>
                <w:color w:val="auto"/>
                <w:szCs w:val="21"/>
                <w:highlight w:val="none"/>
              </w:rPr>
              <w:t>3</w:t>
            </w:r>
          </w:p>
        </w:tc>
        <w:tc>
          <w:tcPr>
            <w:tcW w:w="3936" w:type="dxa"/>
            <w:vAlign w:val="center"/>
          </w:tcPr>
          <w:p>
            <w:pPr>
              <w:spacing w:line="360" w:lineRule="auto"/>
              <w:jc w:val="center"/>
              <w:rPr>
                <w:rFonts w:ascii="宋体" w:cs="宋体"/>
                <w:color w:val="auto"/>
                <w:szCs w:val="21"/>
                <w:highlight w:val="none"/>
              </w:rPr>
            </w:pPr>
          </w:p>
        </w:tc>
        <w:tc>
          <w:tcPr>
            <w:tcW w:w="1985" w:type="dxa"/>
            <w:vAlign w:val="center"/>
          </w:tcPr>
          <w:p>
            <w:pPr>
              <w:spacing w:line="360" w:lineRule="auto"/>
              <w:jc w:val="center"/>
              <w:rPr>
                <w:rFonts w:ascii="宋体" w:cs="宋体"/>
                <w:color w:val="auto"/>
                <w:szCs w:val="21"/>
                <w:highlight w:val="none"/>
              </w:rPr>
            </w:pPr>
          </w:p>
        </w:tc>
        <w:tc>
          <w:tcPr>
            <w:tcW w:w="1208" w:type="dxa"/>
            <w:vAlign w:val="center"/>
          </w:tcPr>
          <w:p>
            <w:pPr>
              <w:spacing w:line="360" w:lineRule="auto"/>
              <w:jc w:val="center"/>
              <w:rPr>
                <w:rFonts w:ascii="宋体" w:cs="宋体"/>
                <w:color w:val="auto"/>
                <w:szCs w:val="21"/>
                <w:highlight w:val="none"/>
              </w:rPr>
            </w:pPr>
          </w:p>
        </w:tc>
        <w:tc>
          <w:tcPr>
            <w:tcW w:w="2269"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81"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w:t>
            </w:r>
          </w:p>
        </w:tc>
        <w:tc>
          <w:tcPr>
            <w:tcW w:w="3936" w:type="dxa"/>
            <w:vAlign w:val="center"/>
          </w:tcPr>
          <w:p>
            <w:pPr>
              <w:spacing w:line="360" w:lineRule="auto"/>
              <w:jc w:val="center"/>
              <w:rPr>
                <w:rFonts w:ascii="宋体" w:cs="宋体"/>
                <w:color w:val="auto"/>
                <w:szCs w:val="21"/>
                <w:highlight w:val="none"/>
              </w:rPr>
            </w:pPr>
          </w:p>
        </w:tc>
        <w:tc>
          <w:tcPr>
            <w:tcW w:w="1985" w:type="dxa"/>
            <w:vAlign w:val="center"/>
          </w:tcPr>
          <w:p>
            <w:pPr>
              <w:spacing w:line="360" w:lineRule="auto"/>
              <w:jc w:val="center"/>
              <w:rPr>
                <w:rFonts w:ascii="宋体" w:cs="宋体"/>
                <w:color w:val="auto"/>
                <w:szCs w:val="21"/>
                <w:highlight w:val="none"/>
              </w:rPr>
            </w:pPr>
          </w:p>
        </w:tc>
        <w:tc>
          <w:tcPr>
            <w:tcW w:w="1208" w:type="dxa"/>
            <w:vAlign w:val="center"/>
          </w:tcPr>
          <w:p>
            <w:pPr>
              <w:spacing w:line="360" w:lineRule="auto"/>
              <w:jc w:val="center"/>
              <w:rPr>
                <w:rFonts w:ascii="宋体" w:cs="宋体"/>
                <w:color w:val="auto"/>
                <w:szCs w:val="21"/>
                <w:highlight w:val="none"/>
              </w:rPr>
            </w:pPr>
          </w:p>
        </w:tc>
        <w:tc>
          <w:tcPr>
            <w:tcW w:w="2269"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81" w:type="dxa"/>
            <w:vAlign w:val="center"/>
          </w:tcPr>
          <w:p>
            <w:pPr>
              <w:spacing w:line="360" w:lineRule="auto"/>
              <w:jc w:val="center"/>
              <w:rPr>
                <w:rFonts w:ascii="宋体" w:cs="宋体"/>
                <w:color w:val="auto"/>
                <w:szCs w:val="21"/>
                <w:highlight w:val="none"/>
              </w:rPr>
            </w:pPr>
          </w:p>
        </w:tc>
        <w:tc>
          <w:tcPr>
            <w:tcW w:w="3936" w:type="dxa"/>
            <w:vAlign w:val="center"/>
          </w:tcPr>
          <w:p>
            <w:pPr>
              <w:spacing w:line="360" w:lineRule="auto"/>
              <w:jc w:val="center"/>
              <w:rPr>
                <w:rFonts w:ascii="宋体" w:cs="宋体"/>
                <w:color w:val="auto"/>
                <w:szCs w:val="21"/>
                <w:highlight w:val="none"/>
              </w:rPr>
            </w:pPr>
          </w:p>
        </w:tc>
        <w:tc>
          <w:tcPr>
            <w:tcW w:w="1985" w:type="dxa"/>
            <w:vAlign w:val="center"/>
          </w:tcPr>
          <w:p>
            <w:pPr>
              <w:spacing w:line="360" w:lineRule="auto"/>
              <w:jc w:val="center"/>
              <w:rPr>
                <w:rFonts w:ascii="宋体" w:cs="宋体"/>
                <w:color w:val="auto"/>
                <w:szCs w:val="21"/>
                <w:highlight w:val="none"/>
              </w:rPr>
            </w:pPr>
          </w:p>
        </w:tc>
        <w:tc>
          <w:tcPr>
            <w:tcW w:w="1208" w:type="dxa"/>
            <w:vAlign w:val="center"/>
          </w:tcPr>
          <w:p>
            <w:pPr>
              <w:spacing w:line="360" w:lineRule="auto"/>
              <w:jc w:val="center"/>
              <w:rPr>
                <w:rFonts w:ascii="宋体" w:cs="宋体"/>
                <w:color w:val="auto"/>
                <w:szCs w:val="21"/>
                <w:highlight w:val="none"/>
              </w:rPr>
            </w:pPr>
          </w:p>
        </w:tc>
        <w:tc>
          <w:tcPr>
            <w:tcW w:w="2269"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81" w:type="dxa"/>
            <w:vAlign w:val="center"/>
          </w:tcPr>
          <w:p>
            <w:pPr>
              <w:spacing w:line="360" w:lineRule="auto"/>
              <w:jc w:val="center"/>
              <w:rPr>
                <w:rFonts w:ascii="宋体" w:cs="宋体"/>
                <w:color w:val="auto"/>
                <w:szCs w:val="21"/>
                <w:highlight w:val="none"/>
              </w:rPr>
            </w:pPr>
          </w:p>
        </w:tc>
        <w:tc>
          <w:tcPr>
            <w:tcW w:w="3936" w:type="dxa"/>
            <w:vAlign w:val="center"/>
          </w:tcPr>
          <w:p>
            <w:pPr>
              <w:spacing w:line="360" w:lineRule="auto"/>
              <w:jc w:val="center"/>
              <w:rPr>
                <w:rFonts w:ascii="宋体" w:cs="宋体"/>
                <w:color w:val="auto"/>
                <w:szCs w:val="21"/>
                <w:highlight w:val="none"/>
              </w:rPr>
            </w:pPr>
          </w:p>
        </w:tc>
        <w:tc>
          <w:tcPr>
            <w:tcW w:w="1985" w:type="dxa"/>
            <w:vAlign w:val="center"/>
          </w:tcPr>
          <w:p>
            <w:pPr>
              <w:spacing w:line="360" w:lineRule="auto"/>
              <w:jc w:val="center"/>
              <w:rPr>
                <w:rFonts w:ascii="宋体" w:cs="宋体"/>
                <w:color w:val="auto"/>
                <w:szCs w:val="21"/>
                <w:highlight w:val="none"/>
              </w:rPr>
            </w:pPr>
          </w:p>
        </w:tc>
        <w:tc>
          <w:tcPr>
            <w:tcW w:w="1208" w:type="dxa"/>
            <w:vAlign w:val="center"/>
          </w:tcPr>
          <w:p>
            <w:pPr>
              <w:spacing w:line="360" w:lineRule="auto"/>
              <w:jc w:val="center"/>
              <w:rPr>
                <w:rFonts w:ascii="宋体" w:cs="宋体"/>
                <w:color w:val="auto"/>
                <w:szCs w:val="21"/>
                <w:highlight w:val="none"/>
              </w:rPr>
            </w:pPr>
          </w:p>
        </w:tc>
        <w:tc>
          <w:tcPr>
            <w:tcW w:w="2269"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81" w:type="dxa"/>
            <w:vAlign w:val="center"/>
          </w:tcPr>
          <w:p>
            <w:pPr>
              <w:spacing w:line="360" w:lineRule="auto"/>
              <w:jc w:val="center"/>
              <w:rPr>
                <w:rFonts w:ascii="宋体" w:cs="宋体"/>
                <w:color w:val="auto"/>
                <w:szCs w:val="21"/>
                <w:highlight w:val="none"/>
              </w:rPr>
            </w:pPr>
          </w:p>
        </w:tc>
        <w:tc>
          <w:tcPr>
            <w:tcW w:w="3936" w:type="dxa"/>
            <w:vAlign w:val="center"/>
          </w:tcPr>
          <w:p>
            <w:pPr>
              <w:spacing w:line="360" w:lineRule="auto"/>
              <w:jc w:val="center"/>
              <w:rPr>
                <w:rFonts w:ascii="宋体" w:cs="宋体"/>
                <w:color w:val="auto"/>
                <w:szCs w:val="21"/>
                <w:highlight w:val="none"/>
              </w:rPr>
            </w:pPr>
          </w:p>
        </w:tc>
        <w:tc>
          <w:tcPr>
            <w:tcW w:w="1985" w:type="dxa"/>
            <w:vAlign w:val="center"/>
          </w:tcPr>
          <w:p>
            <w:pPr>
              <w:spacing w:line="360" w:lineRule="auto"/>
              <w:jc w:val="center"/>
              <w:rPr>
                <w:rFonts w:ascii="宋体" w:cs="宋体"/>
                <w:color w:val="auto"/>
                <w:szCs w:val="21"/>
                <w:highlight w:val="none"/>
              </w:rPr>
            </w:pPr>
          </w:p>
        </w:tc>
        <w:tc>
          <w:tcPr>
            <w:tcW w:w="1208" w:type="dxa"/>
            <w:vAlign w:val="center"/>
          </w:tcPr>
          <w:p>
            <w:pPr>
              <w:spacing w:line="360" w:lineRule="auto"/>
              <w:jc w:val="center"/>
              <w:rPr>
                <w:rFonts w:ascii="宋体" w:cs="宋体"/>
                <w:color w:val="auto"/>
                <w:szCs w:val="21"/>
                <w:highlight w:val="none"/>
              </w:rPr>
            </w:pPr>
          </w:p>
        </w:tc>
        <w:tc>
          <w:tcPr>
            <w:tcW w:w="2269"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81" w:type="dxa"/>
            <w:vAlign w:val="center"/>
          </w:tcPr>
          <w:p>
            <w:pPr>
              <w:spacing w:line="360" w:lineRule="auto"/>
              <w:jc w:val="center"/>
              <w:rPr>
                <w:rFonts w:ascii="宋体" w:cs="宋体"/>
                <w:color w:val="auto"/>
                <w:szCs w:val="21"/>
                <w:highlight w:val="none"/>
              </w:rPr>
            </w:pPr>
          </w:p>
        </w:tc>
        <w:tc>
          <w:tcPr>
            <w:tcW w:w="3936" w:type="dxa"/>
            <w:vAlign w:val="center"/>
          </w:tcPr>
          <w:p>
            <w:pPr>
              <w:spacing w:line="360" w:lineRule="auto"/>
              <w:jc w:val="center"/>
              <w:rPr>
                <w:rFonts w:ascii="宋体" w:cs="宋体"/>
                <w:color w:val="auto"/>
                <w:szCs w:val="21"/>
                <w:highlight w:val="none"/>
              </w:rPr>
            </w:pPr>
          </w:p>
        </w:tc>
        <w:tc>
          <w:tcPr>
            <w:tcW w:w="1985" w:type="dxa"/>
            <w:vAlign w:val="center"/>
          </w:tcPr>
          <w:p>
            <w:pPr>
              <w:spacing w:line="360" w:lineRule="auto"/>
              <w:jc w:val="center"/>
              <w:rPr>
                <w:rFonts w:ascii="宋体" w:cs="宋体"/>
                <w:color w:val="auto"/>
                <w:szCs w:val="21"/>
                <w:highlight w:val="none"/>
              </w:rPr>
            </w:pPr>
          </w:p>
        </w:tc>
        <w:tc>
          <w:tcPr>
            <w:tcW w:w="1208" w:type="dxa"/>
            <w:vAlign w:val="center"/>
          </w:tcPr>
          <w:p>
            <w:pPr>
              <w:spacing w:line="360" w:lineRule="auto"/>
              <w:jc w:val="center"/>
              <w:rPr>
                <w:rFonts w:ascii="宋体" w:cs="宋体"/>
                <w:color w:val="auto"/>
                <w:szCs w:val="21"/>
                <w:highlight w:val="none"/>
              </w:rPr>
            </w:pPr>
          </w:p>
        </w:tc>
        <w:tc>
          <w:tcPr>
            <w:tcW w:w="2269"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81" w:type="dxa"/>
            <w:vAlign w:val="center"/>
          </w:tcPr>
          <w:p>
            <w:pPr>
              <w:spacing w:line="360" w:lineRule="auto"/>
              <w:jc w:val="center"/>
              <w:rPr>
                <w:rFonts w:ascii="宋体" w:cs="宋体"/>
                <w:color w:val="auto"/>
                <w:szCs w:val="21"/>
                <w:highlight w:val="none"/>
              </w:rPr>
            </w:pPr>
          </w:p>
        </w:tc>
        <w:tc>
          <w:tcPr>
            <w:tcW w:w="3936" w:type="dxa"/>
            <w:vAlign w:val="center"/>
          </w:tcPr>
          <w:p>
            <w:pPr>
              <w:spacing w:line="360" w:lineRule="auto"/>
              <w:jc w:val="center"/>
              <w:rPr>
                <w:rFonts w:ascii="宋体" w:cs="宋体"/>
                <w:color w:val="auto"/>
                <w:szCs w:val="21"/>
                <w:highlight w:val="none"/>
              </w:rPr>
            </w:pPr>
          </w:p>
        </w:tc>
        <w:tc>
          <w:tcPr>
            <w:tcW w:w="1985" w:type="dxa"/>
            <w:vAlign w:val="center"/>
          </w:tcPr>
          <w:p>
            <w:pPr>
              <w:spacing w:line="360" w:lineRule="auto"/>
              <w:jc w:val="center"/>
              <w:rPr>
                <w:rFonts w:ascii="宋体" w:cs="宋体"/>
                <w:color w:val="auto"/>
                <w:szCs w:val="21"/>
                <w:highlight w:val="none"/>
              </w:rPr>
            </w:pPr>
          </w:p>
        </w:tc>
        <w:tc>
          <w:tcPr>
            <w:tcW w:w="1208" w:type="dxa"/>
            <w:vAlign w:val="center"/>
          </w:tcPr>
          <w:p>
            <w:pPr>
              <w:spacing w:line="360" w:lineRule="auto"/>
              <w:jc w:val="center"/>
              <w:rPr>
                <w:rFonts w:ascii="宋体" w:cs="宋体"/>
                <w:color w:val="auto"/>
                <w:szCs w:val="21"/>
                <w:highlight w:val="none"/>
              </w:rPr>
            </w:pPr>
          </w:p>
        </w:tc>
        <w:tc>
          <w:tcPr>
            <w:tcW w:w="2269" w:type="dxa"/>
            <w:vAlign w:val="center"/>
          </w:tcPr>
          <w:p>
            <w:pPr>
              <w:spacing w:line="360" w:lineRule="auto"/>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81" w:type="dxa"/>
            <w:vAlign w:val="center"/>
          </w:tcPr>
          <w:p>
            <w:pPr>
              <w:spacing w:line="360" w:lineRule="auto"/>
              <w:jc w:val="center"/>
              <w:rPr>
                <w:rFonts w:ascii="宋体" w:cs="宋体"/>
                <w:color w:val="auto"/>
                <w:szCs w:val="21"/>
                <w:highlight w:val="none"/>
              </w:rPr>
            </w:pPr>
          </w:p>
        </w:tc>
        <w:tc>
          <w:tcPr>
            <w:tcW w:w="3936" w:type="dxa"/>
            <w:vAlign w:val="center"/>
          </w:tcPr>
          <w:p>
            <w:pPr>
              <w:spacing w:line="360" w:lineRule="auto"/>
              <w:jc w:val="center"/>
              <w:rPr>
                <w:rFonts w:ascii="宋体" w:cs="宋体"/>
                <w:color w:val="auto"/>
                <w:szCs w:val="21"/>
                <w:highlight w:val="none"/>
              </w:rPr>
            </w:pPr>
          </w:p>
        </w:tc>
        <w:tc>
          <w:tcPr>
            <w:tcW w:w="1985" w:type="dxa"/>
            <w:vAlign w:val="center"/>
          </w:tcPr>
          <w:p>
            <w:pPr>
              <w:spacing w:line="360" w:lineRule="auto"/>
              <w:jc w:val="center"/>
              <w:rPr>
                <w:rFonts w:ascii="宋体" w:cs="宋体"/>
                <w:color w:val="auto"/>
                <w:szCs w:val="21"/>
                <w:highlight w:val="none"/>
              </w:rPr>
            </w:pPr>
          </w:p>
        </w:tc>
        <w:tc>
          <w:tcPr>
            <w:tcW w:w="1208" w:type="dxa"/>
            <w:vAlign w:val="center"/>
          </w:tcPr>
          <w:p>
            <w:pPr>
              <w:spacing w:line="360" w:lineRule="auto"/>
              <w:jc w:val="center"/>
              <w:rPr>
                <w:rFonts w:ascii="宋体" w:cs="宋体"/>
                <w:color w:val="auto"/>
                <w:szCs w:val="21"/>
                <w:highlight w:val="none"/>
              </w:rPr>
            </w:pPr>
          </w:p>
        </w:tc>
        <w:tc>
          <w:tcPr>
            <w:tcW w:w="2269" w:type="dxa"/>
            <w:vAlign w:val="center"/>
          </w:tcPr>
          <w:p>
            <w:pPr>
              <w:spacing w:line="360" w:lineRule="auto"/>
              <w:jc w:val="center"/>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投标人名称：</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投标代表签字：</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领回原件的投标代表签名：</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日期：</w:t>
      </w:r>
    </w:p>
    <w:p>
      <w:pPr>
        <w:spacing w:line="360" w:lineRule="auto"/>
        <w:rPr>
          <w:rFonts w:ascii="宋体" w:cs="宋体"/>
          <w:color w:val="auto"/>
          <w:szCs w:val="21"/>
          <w:highlight w:val="none"/>
        </w:rPr>
      </w:pPr>
    </w:p>
    <w:p>
      <w:pPr>
        <w:spacing w:line="360" w:lineRule="auto"/>
        <w:rPr>
          <w:rFonts w:ascii="宋体" w:cs="宋体"/>
          <w:b/>
          <w:color w:val="auto"/>
          <w:szCs w:val="21"/>
          <w:highlight w:val="none"/>
        </w:rPr>
      </w:pPr>
    </w:p>
    <w:p>
      <w:pPr>
        <w:spacing w:line="360" w:lineRule="auto"/>
        <w:rPr>
          <w:rFonts w:ascii="宋体" w:cs="宋体"/>
          <w:b/>
          <w:color w:val="auto"/>
          <w:szCs w:val="21"/>
          <w:highlight w:val="none"/>
        </w:rPr>
      </w:pPr>
    </w:p>
    <w:p>
      <w:pPr>
        <w:spacing w:line="360" w:lineRule="auto"/>
        <w:rPr>
          <w:rFonts w:ascii="宋体" w:cs="宋体"/>
          <w:b/>
          <w:color w:val="auto"/>
          <w:szCs w:val="21"/>
          <w:highlight w:val="none"/>
        </w:rPr>
      </w:pPr>
    </w:p>
    <w:p>
      <w:pPr>
        <w:spacing w:line="360" w:lineRule="auto"/>
        <w:rPr>
          <w:rFonts w:ascii="宋体" w:cs="宋体"/>
          <w:b/>
          <w:color w:val="auto"/>
          <w:szCs w:val="21"/>
          <w:highlight w:val="none"/>
        </w:rPr>
      </w:pPr>
    </w:p>
    <w:p>
      <w:pPr>
        <w:spacing w:line="360" w:lineRule="auto"/>
        <w:rPr>
          <w:color w:val="auto"/>
          <w:szCs w:val="21"/>
          <w:highlight w:val="none"/>
        </w:rPr>
      </w:pPr>
      <w:r>
        <w:rPr>
          <w:rFonts w:hint="eastAsia" w:ascii="宋体" w:hAnsi="宋体" w:cs="宋体"/>
          <w:b/>
          <w:color w:val="auto"/>
          <w:szCs w:val="21"/>
          <w:highlight w:val="none"/>
        </w:rPr>
        <w:t>为方便开标唱标，投标人提交投标文件时还须单独提交一个密封信封，并在信封上标明“唱标信封”的字样，内含《投标函》、《开标一览表》、《法定代表人证明书</w:t>
      </w:r>
      <w:r>
        <w:rPr>
          <w:rFonts w:ascii="宋体" w:hAnsi="宋体" w:cs="宋体"/>
          <w:b/>
          <w:color w:val="auto"/>
          <w:szCs w:val="21"/>
          <w:highlight w:val="none"/>
        </w:rPr>
        <w:t>/</w:t>
      </w:r>
      <w:r>
        <w:rPr>
          <w:rFonts w:hint="eastAsia" w:ascii="宋体" w:hAnsi="宋体" w:cs="宋体"/>
          <w:b/>
          <w:color w:val="auto"/>
          <w:szCs w:val="21"/>
          <w:highlight w:val="none"/>
        </w:rPr>
        <w:t>法定代表人</w:t>
      </w:r>
      <w:bookmarkStart w:id="74" w:name="_GoBack"/>
      <w:r>
        <w:rPr>
          <w:rFonts w:hint="eastAsia" w:ascii="宋体" w:hAnsi="宋体" w:cs="宋体"/>
          <w:b/>
          <w:color w:val="auto"/>
          <w:szCs w:val="21"/>
          <w:highlight w:val="none"/>
        </w:rPr>
        <w:t>授权书</w:t>
      </w:r>
      <w:bookmarkEnd w:id="74"/>
      <w:r>
        <w:rPr>
          <w:rFonts w:hint="eastAsia" w:ascii="宋体" w:hAnsi="宋体" w:cs="宋体"/>
          <w:b/>
          <w:color w:val="auto"/>
          <w:szCs w:val="21"/>
          <w:highlight w:val="none"/>
        </w:rPr>
        <w:t>》和投标保证金交纳凭证复印件。</w:t>
      </w:r>
    </w:p>
    <w:sectPr>
      <w:pgSz w:w="11905" w:h="16838"/>
      <w:pgMar w:top="1134" w:right="1134" w:bottom="1134" w:left="1134" w:header="794" w:footer="79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隶书_GB2312">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方正仿宋简体">
    <w:altName w:val="微软雅黑"/>
    <w:panose1 w:val="02010601030101010101"/>
    <w:charset w:val="86"/>
    <w:family w:val="auto"/>
    <w:pitch w:val="default"/>
    <w:sig w:usb0="00000000" w:usb1="00000000" w:usb2="0000000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Microsoft YaHei UI">
    <w:altName w:val="宋体"/>
    <w:panose1 w:val="00000000000000000000"/>
    <w:charset w:val="86"/>
    <w:family w:val="swiss"/>
    <w:pitch w:val="default"/>
    <w:sig w:usb0="00000000" w:usb1="00000000" w:usb2="00000016" w:usb3="00000000" w:csb0="0004001F" w:csb1="00000000"/>
  </w:font>
  <w:font w:name="新宋体">
    <w:panose1 w:val="02010609030101010101"/>
    <w:charset w:val="86"/>
    <w:family w:val="modern"/>
    <w:pitch w:val="default"/>
    <w:sig w:usb0="00000003" w:usb1="288F0000" w:usb2="00000006" w:usb3="00000000" w:csb0="00040001"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NJWO7QAAAABQEAAA8AAAAAAAAAAQAgAAAAIgAAAGRycy9kb3ducmV2LnhtbFBLAQIUABQAAAAI&#10;AIdO4kBA1f4FvAEAAGIDAAAOAAAAAAAAAAEAIAAAAB8BAABkcnMvZTJvRG9jLnhtbFBLBQYAAAAA&#10;BgAGAFkBAABN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w:t>
                    </w:r>
                    <w:r>
                      <w:fldChar w:fldCharType="end"/>
                    </w:r>
                  </w:p>
                </w:txbxContent>
              </v:textbox>
            </v:shape>
          </w:pict>
        </mc:Fallback>
      </mc:AlternateContent>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SVju0AAAAAUBAAAPAAAAAAAAAAEAIAAAACIAAABkcnMvZG93bnJldi54bWxQSwECFAAUAAAA&#10;CACHTuJA0kgmvL0BAABiAwAADgAAAAAAAAABACAAAAAfAQAAZHJzL2Uyb0RvYy54bWxQSwUGAAAA&#10;AAYABgBZAQAAT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6</w:t>
                    </w:r>
                    <w:r>
                      <w:fldChar w:fldCharType="end"/>
                    </w:r>
                  </w:p>
                </w:txbxContent>
              </v:textbox>
            </v:shape>
          </w:pict>
        </mc:Fallback>
      </mc:AlternateContent>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SVju0AAAAAUBAAAPAAAAAAAAAAEAIAAAACIAAABkcnMvZG93bnJldi54bWxQSwECFAAUAAAA&#10;CACHTuJAqWSiDL0BAABiAwAADgAAAAAAAAABACAAAAAfAQAAZHJzL2Uyb0RvYy54bWxQSwUGAAAA&#10;AAYABgBZAQAAT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outside" w:y="1"/>
      <w:rPr>
        <w:rStyle w:val="59"/>
      </w:rPr>
    </w:pPr>
    <w:r>
      <w:rPr>
        <w:rStyle w:val="59"/>
      </w:rPr>
      <w:fldChar w:fldCharType="begin"/>
    </w:r>
    <w:r>
      <w:rPr>
        <w:rStyle w:val="59"/>
      </w:rPr>
      <w:instrText xml:space="preserve">PAGE  </w:instrText>
    </w:r>
    <w:r>
      <w:rPr>
        <w:rStyle w:val="59"/>
      </w:rPr>
      <w:fldChar w:fldCharType="separate"/>
    </w:r>
    <w:r>
      <w:rPr>
        <w:rStyle w:val="59"/>
      </w:rPr>
      <w:t>1</w:t>
    </w:r>
    <w:r>
      <w:rPr>
        <w:rStyle w:val="59"/>
      </w:rPr>
      <w:fldChar w:fldCharType="end"/>
    </w:r>
  </w:p>
  <w:p>
    <w:pPr>
      <w:pStyle w:val="33"/>
      <w:tabs>
        <w:tab w:val="center" w:pos="4500"/>
        <w:tab w:val="right" w:pos="8640"/>
        <w:tab w:val="clear" w:pos="4153"/>
        <w:tab w:val="clear" w:pos="8306"/>
      </w:tabs>
      <w:ind w:right="-109" w:firstLine="360" w:firstLineChars="200"/>
    </w:pPr>
    <w:r>
      <w:drawing>
        <wp:anchor distT="0" distB="0" distL="114300" distR="114300" simplePos="0" relativeHeight="251656192" behindDoc="0" locked="0" layoutInCell="1" allowOverlap="1">
          <wp:simplePos x="0" y="0"/>
          <wp:positionH relativeFrom="column">
            <wp:posOffset>5143500</wp:posOffset>
          </wp:positionH>
          <wp:positionV relativeFrom="paragraph">
            <wp:posOffset>-7620</wp:posOffset>
          </wp:positionV>
          <wp:extent cx="568325" cy="424180"/>
          <wp:effectExtent l="0" t="0" r="3175" b="13970"/>
          <wp:wrapTopAndBottom/>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pic:cNvPicPr>
                </pic:nvPicPr>
                <pic:blipFill>
                  <a:blip r:embed="rId1"/>
                  <a:stretch>
                    <a:fillRect/>
                  </a:stretch>
                </pic:blipFill>
                <pic:spPr>
                  <a:xfrm>
                    <a:off x="0" y="0"/>
                    <a:ext cx="568325" cy="424180"/>
                  </a:xfrm>
                  <a:prstGeom prst="rect">
                    <a:avLst/>
                  </a:prstGeom>
                  <a:noFill/>
                  <a:ln w="9525">
                    <a:noFill/>
                  </a:ln>
                </pic:spPr>
              </pic:pic>
            </a:graphicData>
          </a:graphic>
        </wp:anchor>
      </w:drawing>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760085" cy="0"/>
              <wp:effectExtent l="0" t="0" r="0" b="0"/>
              <wp:wrapNone/>
              <wp:docPr id="5" name="Line 6"/>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6" o:spid="_x0000_s1026" o:spt="20" style="position:absolute;left:0pt;margin-left:0pt;margin-top:0pt;height:0pt;width:453.55pt;z-index:251657216;mso-width-relative:page;mso-height-relative:page;" filled="f" stroked="t" coordsize="21600,21600" o:gfxdata="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CbJsJ0QAAAAIBAAAPAAAAAAAAAAEAIAAAACIAAABkcnMvZG93bnJldi54bWxQSwECFAAUAAAA&#10;CACHTuJALlyV5bwBAACNAwAADgAAAAAAAAABACAAAAAgAQAAZHJzL2Uyb0RvYy54bWxQSwUGAAAA&#10;AAYABgBZAQAATgUAAAAA&#10;">
              <v:fill on="f" focussize="0,0"/>
              <v:stroke color="#00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pStyle w:val="295"/>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4"/>
    <w:multiLevelType w:val="multilevel"/>
    <w:tmpl w:val="00000004"/>
    <w:lvl w:ilvl="0" w:tentative="0">
      <w:start w:val="1"/>
      <w:numFmt w:val="none"/>
      <w:pStyle w:val="168"/>
      <w:suff w:val="space"/>
      <w:lvlText w:val=""/>
      <w:lvlJc w:val="left"/>
      <w:pPr>
        <w:ind w:left="964" w:hanging="397"/>
      </w:pPr>
      <w:rPr>
        <w:rFonts w:cs="Times New Roman"/>
      </w:rPr>
    </w:lvl>
    <w:lvl w:ilvl="1" w:tentative="0">
      <w:start w:val="1"/>
      <w:numFmt w:val="decimal"/>
      <w:isLgl/>
      <w:suff w:val="space"/>
      <w:lvlText w:val="&lt;%2&gt;"/>
      <w:lvlJc w:val="left"/>
      <w:pPr>
        <w:ind w:left="964" w:hanging="397"/>
      </w:pPr>
      <w:rPr>
        <w:rFonts w:cs="Times New Roman"/>
      </w:rPr>
    </w:lvl>
    <w:lvl w:ilvl="2" w:tentative="0">
      <w:start w:val="1"/>
      <w:numFmt w:val="bullet"/>
      <w:suff w:val="space"/>
      <w:lvlText w:val=""/>
      <w:lvlJc w:val="left"/>
      <w:pPr>
        <w:ind w:left="851" w:hanging="426"/>
      </w:pPr>
      <w:rPr>
        <w:rFonts w:hint="default" w:ascii="Wingdings" w:hAnsi="Wingdings"/>
      </w:rPr>
    </w:lvl>
    <w:lvl w:ilvl="3" w:tentative="0">
      <w:start w:val="1"/>
      <w:numFmt w:val="bullet"/>
      <w:suff w:val="space"/>
      <w:lvlText w:val=""/>
      <w:lvlJc w:val="left"/>
      <w:pPr>
        <w:ind w:left="851" w:hanging="426"/>
      </w:pPr>
      <w:rPr>
        <w:rFonts w:hint="default" w:ascii="Wingdings" w:hAnsi="Wingdings"/>
      </w:rPr>
    </w:lvl>
    <w:lvl w:ilvl="4" w:tentative="0">
      <w:start w:val="1"/>
      <w:numFmt w:val="bullet"/>
      <w:pStyle w:val="149"/>
      <w:suff w:val="space"/>
      <w:lvlText w:val=""/>
      <w:lvlJc w:val="left"/>
      <w:pPr>
        <w:ind w:left="737" w:hanging="312"/>
      </w:pPr>
      <w:rPr>
        <w:rFonts w:hint="default" w:ascii="Wingdings" w:hAnsi="Wingdings"/>
        <w:color w:val="auto"/>
        <w:sz w:val="15"/>
      </w:rPr>
    </w:lvl>
    <w:lvl w:ilvl="5" w:tentative="0">
      <w:start w:val="1"/>
      <w:numFmt w:val="none"/>
      <w:suff w:val="nothing"/>
      <w:lvlText w:val=""/>
      <w:lvlJc w:val="left"/>
      <w:pPr>
        <w:ind w:left="2410" w:hanging="426"/>
      </w:pPr>
      <w:rPr>
        <w:rFonts w:cs="Times New Roman"/>
      </w:rPr>
    </w:lvl>
    <w:lvl w:ilvl="6" w:tentative="0">
      <w:start w:val="1"/>
      <w:numFmt w:val="none"/>
      <w:lvlText w:val=""/>
      <w:lvlJc w:val="left"/>
      <w:pPr>
        <w:tabs>
          <w:tab w:val="left" w:pos="2835"/>
        </w:tabs>
        <w:ind w:left="2835" w:hanging="426"/>
      </w:pPr>
      <w:rPr>
        <w:rFonts w:cs="Times New Roman"/>
      </w:rPr>
    </w:lvl>
    <w:lvl w:ilvl="7" w:tentative="0">
      <w:start w:val="1"/>
      <w:numFmt w:val="none"/>
      <w:lvlText w:val=""/>
      <w:lvlJc w:val="left"/>
      <w:pPr>
        <w:tabs>
          <w:tab w:val="left" w:pos="3260"/>
        </w:tabs>
        <w:ind w:left="3260" w:hanging="425"/>
      </w:pPr>
      <w:rPr>
        <w:rFonts w:cs="Times New Roman"/>
      </w:rPr>
    </w:lvl>
    <w:lvl w:ilvl="8" w:tentative="0">
      <w:start w:val="1"/>
      <w:numFmt w:val="none"/>
      <w:lvlText w:val=""/>
      <w:lvlJc w:val="left"/>
      <w:pPr>
        <w:tabs>
          <w:tab w:val="left" w:pos="360"/>
        </w:tabs>
      </w:pPr>
      <w:rPr>
        <w:rFonts w:cs="Times New Roman"/>
      </w:rPr>
    </w:lvl>
  </w:abstractNum>
  <w:abstractNum w:abstractNumId="2">
    <w:nsid w:val="0000000B"/>
    <w:multiLevelType w:val="multilevel"/>
    <w:tmpl w:val="0000000B"/>
    <w:lvl w:ilvl="0" w:tentative="0">
      <w:start w:val="1"/>
      <w:numFmt w:val="decimal"/>
      <w:lvlText w:val="%1."/>
      <w:lvlJc w:val="left"/>
      <w:pPr>
        <w:tabs>
          <w:tab w:val="left" w:pos="420"/>
        </w:tabs>
        <w:ind w:left="420" w:hanging="420"/>
      </w:pPr>
      <w:rPr>
        <w:rFonts w:hint="eastAsia" w:cs="Times New Roman"/>
      </w:rPr>
    </w:lvl>
    <w:lvl w:ilvl="1" w:tentative="0">
      <w:start w:val="1"/>
      <w:numFmt w:val="upperLetter"/>
      <w:lvlText w:val="%2."/>
      <w:lvlJc w:val="left"/>
      <w:pPr>
        <w:tabs>
          <w:tab w:val="left" w:pos="851"/>
        </w:tabs>
        <w:ind w:left="851" w:hanging="426"/>
      </w:pPr>
      <w:rPr>
        <w:rFonts w:hint="eastAsia" w:cs="Times New Roman"/>
      </w:rPr>
    </w:lvl>
    <w:lvl w:ilvl="2" w:tentative="0">
      <w:start w:val="7"/>
      <w:numFmt w:val="decimal"/>
      <w:lvlText w:val="%3."/>
      <w:lvlJc w:val="left"/>
      <w:pPr>
        <w:tabs>
          <w:tab w:val="left" w:pos="1276"/>
        </w:tabs>
        <w:ind w:left="1276" w:hanging="425"/>
      </w:pPr>
      <w:rPr>
        <w:rFonts w:hint="eastAsia" w:cs="Times New Roman"/>
      </w:rPr>
    </w:lvl>
    <w:lvl w:ilvl="3" w:tentative="0">
      <w:start w:val="1"/>
      <w:numFmt w:val="lowerLetter"/>
      <w:lvlText w:val="%4."/>
      <w:lvlJc w:val="left"/>
      <w:pPr>
        <w:tabs>
          <w:tab w:val="left" w:pos="1559"/>
        </w:tabs>
        <w:ind w:left="1559" w:hanging="283"/>
      </w:pPr>
      <w:rPr>
        <w:rFonts w:hint="eastAsia" w:cs="Times New Roman"/>
      </w:rPr>
    </w:lvl>
    <w:lvl w:ilvl="4" w:tentative="0">
      <w:start w:val="1"/>
      <w:numFmt w:val="decimal"/>
      <w:lvlText w:val="%5."/>
      <w:lvlJc w:val="left"/>
      <w:pPr>
        <w:tabs>
          <w:tab w:val="left" w:pos="1984"/>
        </w:tabs>
        <w:ind w:left="1984" w:hanging="425"/>
      </w:pPr>
      <w:rPr>
        <w:rFonts w:hint="eastAsia" w:cs="Times New Roman"/>
      </w:rPr>
    </w:lvl>
    <w:lvl w:ilvl="5" w:tentative="0">
      <w:start w:val="1"/>
      <w:numFmt w:val="lowerLetter"/>
      <w:lvlText w:val="%6."/>
      <w:lvlJc w:val="left"/>
      <w:pPr>
        <w:tabs>
          <w:tab w:val="left" w:pos="2409"/>
        </w:tabs>
        <w:ind w:left="2409" w:hanging="425"/>
      </w:pPr>
      <w:rPr>
        <w:rFonts w:hint="eastAsia" w:cs="Times New Roman"/>
      </w:rPr>
    </w:lvl>
    <w:lvl w:ilvl="6" w:tentative="0">
      <w:start w:val="1"/>
      <w:numFmt w:val="lowerRoman"/>
      <w:lvlText w:val="%7."/>
      <w:lvlJc w:val="left"/>
      <w:pPr>
        <w:tabs>
          <w:tab w:val="left" w:pos="2835"/>
        </w:tabs>
        <w:ind w:left="2835" w:hanging="426"/>
      </w:pPr>
      <w:rPr>
        <w:rFonts w:hint="eastAsia" w:cs="Times New Roman"/>
      </w:rPr>
    </w:lvl>
    <w:lvl w:ilvl="7" w:tentative="0">
      <w:start w:val="1"/>
      <w:numFmt w:val="lowerLetter"/>
      <w:lvlText w:val="%8."/>
      <w:lvlJc w:val="left"/>
      <w:pPr>
        <w:tabs>
          <w:tab w:val="left" w:pos="3260"/>
        </w:tabs>
        <w:ind w:left="3260" w:hanging="425"/>
      </w:pPr>
      <w:rPr>
        <w:rFonts w:hint="eastAsia" w:cs="Times New Roman"/>
      </w:rPr>
    </w:lvl>
    <w:lvl w:ilvl="8" w:tentative="0">
      <w:start w:val="1"/>
      <w:numFmt w:val="lowerRoman"/>
      <w:lvlText w:val="%9."/>
      <w:lvlJc w:val="left"/>
      <w:pPr>
        <w:tabs>
          <w:tab w:val="left" w:pos="3685"/>
        </w:tabs>
        <w:ind w:left="3685" w:hanging="425"/>
      </w:pPr>
      <w:rPr>
        <w:rFonts w:hint="eastAsia" w:cs="Times New Roman"/>
      </w:rPr>
    </w:lvl>
  </w:abstractNum>
  <w:abstractNum w:abstractNumId="3">
    <w:nsid w:val="00000011"/>
    <w:multiLevelType w:val="multilevel"/>
    <w:tmpl w:val="00000011"/>
    <w:lvl w:ilvl="0" w:tentative="0">
      <w:start w:val="1"/>
      <w:numFmt w:val="japaneseCounting"/>
      <w:pStyle w:val="395"/>
      <w:lvlText w:val="%1、"/>
      <w:lvlJc w:val="left"/>
      <w:pPr>
        <w:tabs>
          <w:tab w:val="left" w:pos="3176"/>
        </w:tabs>
        <w:ind w:left="3176" w:hanging="420"/>
      </w:pPr>
      <w:rPr>
        <w:rFonts w:cs="Times New Roman"/>
        <w:b/>
      </w:rPr>
    </w:lvl>
    <w:lvl w:ilvl="1" w:tentative="0">
      <w:start w:val="1"/>
      <w:numFmt w:val="decimal"/>
      <w:lvlText w:val="%2、"/>
      <w:lvlJc w:val="left"/>
      <w:pPr>
        <w:tabs>
          <w:tab w:val="left" w:pos="360"/>
        </w:tabs>
        <w:ind w:left="360" w:hanging="36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7"/>
    <w:multiLevelType w:val="multilevel"/>
    <w:tmpl w:val="00000017"/>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19"/>
    <w:multiLevelType w:val="multilevel"/>
    <w:tmpl w:val="00000019"/>
    <w:lvl w:ilvl="0" w:tentative="0">
      <w:start w:val="1"/>
      <w:numFmt w:val="decimal"/>
      <w:lvlText w:val="%1."/>
      <w:lvlJc w:val="left"/>
      <w:pPr>
        <w:tabs>
          <w:tab w:val="left" w:pos="420"/>
        </w:tabs>
        <w:ind w:left="420" w:hanging="4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1B"/>
    <w:multiLevelType w:val="multilevel"/>
    <w:tmpl w:val="0000001B"/>
    <w:lvl w:ilvl="0" w:tentative="0">
      <w:start w:val="1"/>
      <w:numFmt w:val="decimal"/>
      <w:pStyle w:val="325"/>
      <w:lvlText w:val="%1."/>
      <w:lvlJc w:val="left"/>
      <w:pPr>
        <w:tabs>
          <w:tab w:val="left" w:pos="540"/>
        </w:tabs>
        <w:ind w:left="540" w:hanging="360"/>
      </w:pPr>
      <w:rPr>
        <w:rFonts w:cs="Times New Roman"/>
      </w:rPr>
    </w:lvl>
    <w:lvl w:ilvl="1" w:tentative="0">
      <w:start w:val="1"/>
      <w:numFmt w:val="lowerLetter"/>
      <w:lvlText w:val="%2)"/>
      <w:lvlJc w:val="left"/>
      <w:pPr>
        <w:tabs>
          <w:tab w:val="left" w:pos="1020"/>
        </w:tabs>
        <w:ind w:left="1020" w:hanging="420"/>
      </w:pPr>
      <w:rPr>
        <w:rFonts w:cs="Times New Roman"/>
      </w:rPr>
    </w:lvl>
    <w:lvl w:ilvl="2" w:tentative="0">
      <w:start w:val="1"/>
      <w:numFmt w:val="lowerRoman"/>
      <w:lvlText w:val="%3."/>
      <w:lvlJc w:val="right"/>
      <w:pPr>
        <w:tabs>
          <w:tab w:val="left" w:pos="1440"/>
        </w:tabs>
        <w:ind w:left="1440" w:hanging="420"/>
      </w:pPr>
      <w:rPr>
        <w:rFonts w:cs="Times New Roman"/>
      </w:rPr>
    </w:lvl>
    <w:lvl w:ilvl="3" w:tentative="0">
      <w:start w:val="1"/>
      <w:numFmt w:val="decimal"/>
      <w:lvlText w:val="%4."/>
      <w:lvlJc w:val="left"/>
      <w:pPr>
        <w:tabs>
          <w:tab w:val="left" w:pos="1860"/>
        </w:tabs>
        <w:ind w:left="1860" w:hanging="420"/>
      </w:pPr>
      <w:rPr>
        <w:rFonts w:cs="Times New Roman"/>
      </w:rPr>
    </w:lvl>
    <w:lvl w:ilvl="4" w:tentative="0">
      <w:start w:val="1"/>
      <w:numFmt w:val="lowerLetter"/>
      <w:lvlText w:val="%5)"/>
      <w:lvlJc w:val="left"/>
      <w:pPr>
        <w:tabs>
          <w:tab w:val="left" w:pos="2280"/>
        </w:tabs>
        <w:ind w:left="2280" w:hanging="420"/>
      </w:pPr>
      <w:rPr>
        <w:rFonts w:cs="Times New Roman"/>
      </w:rPr>
    </w:lvl>
    <w:lvl w:ilvl="5" w:tentative="0">
      <w:start w:val="1"/>
      <w:numFmt w:val="lowerRoman"/>
      <w:lvlText w:val="%6."/>
      <w:lvlJc w:val="right"/>
      <w:pPr>
        <w:tabs>
          <w:tab w:val="left" w:pos="2700"/>
        </w:tabs>
        <w:ind w:left="2700" w:hanging="420"/>
      </w:pPr>
      <w:rPr>
        <w:rFonts w:cs="Times New Roman"/>
      </w:rPr>
    </w:lvl>
    <w:lvl w:ilvl="6" w:tentative="0">
      <w:start w:val="1"/>
      <w:numFmt w:val="decimal"/>
      <w:lvlText w:val="%7."/>
      <w:lvlJc w:val="left"/>
      <w:pPr>
        <w:tabs>
          <w:tab w:val="left" w:pos="3120"/>
        </w:tabs>
        <w:ind w:left="3120" w:hanging="420"/>
      </w:pPr>
      <w:rPr>
        <w:rFonts w:cs="Times New Roman"/>
      </w:rPr>
    </w:lvl>
    <w:lvl w:ilvl="7" w:tentative="0">
      <w:start w:val="1"/>
      <w:numFmt w:val="lowerLetter"/>
      <w:lvlText w:val="%8)"/>
      <w:lvlJc w:val="left"/>
      <w:pPr>
        <w:tabs>
          <w:tab w:val="left" w:pos="3540"/>
        </w:tabs>
        <w:ind w:left="3540" w:hanging="420"/>
      </w:pPr>
      <w:rPr>
        <w:rFonts w:cs="Times New Roman"/>
      </w:rPr>
    </w:lvl>
    <w:lvl w:ilvl="8" w:tentative="0">
      <w:start w:val="1"/>
      <w:numFmt w:val="lowerRoman"/>
      <w:lvlText w:val="%9."/>
      <w:lvlJc w:val="right"/>
      <w:pPr>
        <w:tabs>
          <w:tab w:val="left" w:pos="3960"/>
        </w:tabs>
        <w:ind w:left="3960" w:hanging="420"/>
      </w:pPr>
      <w:rPr>
        <w:rFonts w:cs="Times New Roman"/>
      </w:rPr>
    </w:lvl>
  </w:abstractNum>
  <w:abstractNum w:abstractNumId="7">
    <w:nsid w:val="00000040"/>
    <w:multiLevelType w:val="multilevel"/>
    <w:tmpl w:val="00000040"/>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2)"/>
      <w:lvlJc w:val="left"/>
      <w:pPr>
        <w:tabs>
          <w:tab w:val="left" w:pos="680"/>
        </w:tabs>
        <w:ind w:left="680" w:hanging="396"/>
      </w:pPr>
      <w:rPr>
        <w:rFonts w:hint="eastAsia" w:ascii="宋体" w:eastAsia="宋体"/>
        <w:b w:val="0"/>
        <w:i w:val="0"/>
        <w:color w:val="00000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8">
    <w:nsid w:val="05BF2BB4"/>
    <w:multiLevelType w:val="multilevel"/>
    <w:tmpl w:val="05BF2BB4"/>
    <w:lvl w:ilvl="0" w:tentative="0">
      <w:start w:val="1"/>
      <w:numFmt w:val="decimal"/>
      <w:lvlText w:val="%1、"/>
      <w:lvlJc w:val="left"/>
      <w:pPr>
        <w:tabs>
          <w:tab w:val="left" w:pos="1140"/>
        </w:tabs>
        <w:ind w:left="1140" w:hanging="420"/>
      </w:pPr>
      <w:rPr>
        <w:rFonts w:ascii="宋体" w:hAnsi="宋体" w:eastAsia="宋体" w:cs="Times New Roman"/>
      </w:rPr>
    </w:lvl>
    <w:lvl w:ilvl="1" w:tentative="0">
      <w:start w:val="1"/>
      <w:numFmt w:val="decimal"/>
      <w:lvlText w:val="（%2）"/>
      <w:lvlJc w:val="left"/>
      <w:pPr>
        <w:tabs>
          <w:tab w:val="left" w:pos="1860"/>
        </w:tabs>
        <w:ind w:left="1860" w:hanging="720"/>
      </w:pPr>
      <w:rPr>
        <w:rFonts w:cs="Times New Roman"/>
      </w:rPr>
    </w:lvl>
    <w:lvl w:ilvl="2" w:tentative="0">
      <w:start w:val="1"/>
      <w:numFmt w:val="decimal"/>
      <w:pStyle w:val="214"/>
      <w:lvlText w:val="%3）"/>
      <w:lvlJc w:val="left"/>
      <w:pPr>
        <w:tabs>
          <w:tab w:val="left" w:pos="1920"/>
        </w:tabs>
        <w:ind w:left="1920" w:hanging="360"/>
      </w:pPr>
      <w:rPr>
        <w:rFonts w:cs="Times New Roman"/>
      </w:rPr>
    </w:lvl>
    <w:lvl w:ilvl="3" w:tentative="0">
      <w:start w:val="2"/>
      <w:numFmt w:val="decimal"/>
      <w:lvlText w:val="%4．"/>
      <w:lvlJc w:val="left"/>
      <w:pPr>
        <w:tabs>
          <w:tab w:val="left" w:pos="2340"/>
        </w:tabs>
        <w:ind w:left="2340" w:hanging="360"/>
      </w:pPr>
      <w:rPr>
        <w:rFonts w:cs="Times New Roman"/>
      </w:rPr>
    </w:lvl>
    <w:lvl w:ilvl="4" w:tentative="0">
      <w:start w:val="1"/>
      <w:numFmt w:val="lowerLetter"/>
      <w:lvlText w:val="%5)"/>
      <w:lvlJc w:val="left"/>
      <w:pPr>
        <w:tabs>
          <w:tab w:val="left" w:pos="2820"/>
        </w:tabs>
        <w:ind w:left="2820" w:hanging="420"/>
      </w:pPr>
      <w:rPr>
        <w:rFonts w:cs="Times New Roman"/>
      </w:rPr>
    </w:lvl>
    <w:lvl w:ilvl="5" w:tentative="0">
      <w:start w:val="1"/>
      <w:numFmt w:val="lowerRoman"/>
      <w:lvlText w:val="%6."/>
      <w:lvlJc w:val="right"/>
      <w:pPr>
        <w:tabs>
          <w:tab w:val="left" w:pos="3240"/>
        </w:tabs>
        <w:ind w:left="3240" w:hanging="420"/>
      </w:pPr>
      <w:rPr>
        <w:rFonts w:cs="Times New Roman"/>
      </w:rPr>
    </w:lvl>
    <w:lvl w:ilvl="6" w:tentative="0">
      <w:start w:val="1"/>
      <w:numFmt w:val="decimal"/>
      <w:lvlText w:val="%7."/>
      <w:lvlJc w:val="left"/>
      <w:pPr>
        <w:tabs>
          <w:tab w:val="left" w:pos="3660"/>
        </w:tabs>
        <w:ind w:left="3660" w:hanging="420"/>
      </w:pPr>
      <w:rPr>
        <w:rFonts w:cs="Times New Roman"/>
      </w:rPr>
    </w:lvl>
    <w:lvl w:ilvl="7" w:tentative="0">
      <w:start w:val="1"/>
      <w:numFmt w:val="lowerLetter"/>
      <w:lvlText w:val="%8)"/>
      <w:lvlJc w:val="left"/>
      <w:pPr>
        <w:tabs>
          <w:tab w:val="left" w:pos="4080"/>
        </w:tabs>
        <w:ind w:left="4080" w:hanging="420"/>
      </w:pPr>
      <w:rPr>
        <w:rFonts w:cs="Times New Roman"/>
      </w:rPr>
    </w:lvl>
    <w:lvl w:ilvl="8" w:tentative="0">
      <w:start w:val="1"/>
      <w:numFmt w:val="lowerRoman"/>
      <w:lvlText w:val="%9."/>
      <w:lvlJc w:val="right"/>
      <w:pPr>
        <w:tabs>
          <w:tab w:val="left" w:pos="4500"/>
        </w:tabs>
        <w:ind w:left="4500" w:hanging="420"/>
      </w:pPr>
      <w:rPr>
        <w:rFonts w:cs="Times New Roman"/>
      </w:rPr>
    </w:lvl>
  </w:abstractNum>
  <w:abstractNum w:abstractNumId="9">
    <w:nsid w:val="0C6D6F10"/>
    <w:multiLevelType w:val="multilevel"/>
    <w:tmpl w:val="0C6D6F1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11960337"/>
    <w:multiLevelType w:val="singleLevel"/>
    <w:tmpl w:val="11960337"/>
    <w:lvl w:ilvl="0" w:tentative="0">
      <w:start w:val="1"/>
      <w:numFmt w:val="chineseCounting"/>
      <w:suff w:val="nothing"/>
      <w:lvlText w:val="%1、"/>
      <w:lvlJc w:val="left"/>
      <w:rPr>
        <w:rFonts w:hint="eastAsia"/>
      </w:rPr>
    </w:lvl>
  </w:abstractNum>
  <w:abstractNum w:abstractNumId="11">
    <w:nsid w:val="1A76635F"/>
    <w:multiLevelType w:val="multilevel"/>
    <w:tmpl w:val="1A76635F"/>
    <w:lvl w:ilvl="0" w:tentative="0">
      <w:start w:val="1"/>
      <w:numFmt w:val="decimal"/>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1CF4778E"/>
    <w:multiLevelType w:val="multilevel"/>
    <w:tmpl w:val="1CF4778E"/>
    <w:lvl w:ilvl="0" w:tentative="0">
      <w:start w:val="1"/>
      <w:numFmt w:val="decimal"/>
      <w:lvlText w:val="%1."/>
      <w:lvlJc w:val="left"/>
      <w:pPr>
        <w:ind w:left="425" w:hanging="425"/>
      </w:pPr>
      <w:rPr>
        <w:rFonts w:cs="Times New Roman"/>
      </w:rPr>
    </w:lvl>
    <w:lvl w:ilvl="1" w:tentative="0">
      <w:start w:val="1"/>
      <w:numFmt w:val="decimal"/>
      <w:lvlText w:val="%1.%2."/>
      <w:lvlJc w:val="left"/>
      <w:pPr>
        <w:ind w:left="567" w:hanging="567"/>
      </w:pPr>
      <w:rPr>
        <w:rFonts w:cs="Times New Roman"/>
      </w:rPr>
    </w:lvl>
    <w:lvl w:ilvl="2" w:tentative="0">
      <w:start w:val="1"/>
      <w:numFmt w:val="decimal"/>
      <w:lvlText w:val="%1.%2.%3."/>
      <w:lvlJc w:val="left"/>
      <w:pPr>
        <w:ind w:left="709" w:hanging="709"/>
      </w:pPr>
      <w:rPr>
        <w:rFonts w:cs="Times New Roman"/>
      </w:rPr>
    </w:lvl>
    <w:lvl w:ilvl="3" w:tentative="0">
      <w:start w:val="1"/>
      <w:numFmt w:val="decimal"/>
      <w:lvlText w:val="%1.%2.%3.%4."/>
      <w:lvlJc w:val="left"/>
      <w:pPr>
        <w:ind w:left="851" w:hanging="851"/>
      </w:pPr>
      <w:rPr>
        <w:rFonts w:cs="Times New Roman"/>
      </w:rPr>
    </w:lvl>
    <w:lvl w:ilvl="4" w:tentative="0">
      <w:start w:val="1"/>
      <w:numFmt w:val="decimal"/>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13">
    <w:nsid w:val="1F67671A"/>
    <w:multiLevelType w:val="multilevel"/>
    <w:tmpl w:val="1F67671A"/>
    <w:lvl w:ilvl="0" w:tentative="0">
      <w:start w:val="1"/>
      <w:numFmt w:val="decimal"/>
      <w:lvlText w:val="%1."/>
      <w:lvlJc w:val="left"/>
      <w:pPr>
        <w:tabs>
          <w:tab w:val="left" w:pos="709"/>
        </w:tabs>
        <w:ind w:left="709" w:hanging="284"/>
      </w:pPr>
      <w:rPr>
        <w:rFonts w:cs="Times New Roman"/>
      </w:rPr>
    </w:lvl>
    <w:lvl w:ilvl="1" w:tentative="0">
      <w:start w:val="1"/>
      <w:numFmt w:val="decimal"/>
      <w:lvlRestart w:val="0"/>
      <w:pStyle w:val="427"/>
      <w:lvlText w:val="%2)"/>
      <w:lvlJc w:val="left"/>
      <w:pPr>
        <w:tabs>
          <w:tab w:val="left" w:pos="425"/>
        </w:tabs>
        <w:ind w:left="425" w:hanging="425"/>
      </w:pPr>
      <w:rPr>
        <w:rFonts w:cs="Times New Roman"/>
      </w:rPr>
    </w:lvl>
    <w:lvl w:ilvl="2" w:tentative="0">
      <w:start w:val="1"/>
      <w:numFmt w:val="lowerLetter"/>
      <w:lvlRestart w:val="0"/>
      <w:pStyle w:val="390"/>
      <w:lvlText w:val="%3)"/>
      <w:lvlJc w:val="left"/>
      <w:pPr>
        <w:tabs>
          <w:tab w:val="left" w:pos="1559"/>
        </w:tabs>
        <w:ind w:left="1559" w:hanging="425"/>
      </w:pPr>
      <w:rPr>
        <w:rFonts w:cs="Times New Roman"/>
      </w:rPr>
    </w:lvl>
    <w:lvl w:ilvl="3" w:tentative="0">
      <w:start w:val="1"/>
      <w:numFmt w:val="bullet"/>
      <w:lvlRestart w:val="0"/>
      <w:pStyle w:val="120"/>
      <w:lvlText w:val=""/>
      <w:lvlJc w:val="left"/>
      <w:pPr>
        <w:tabs>
          <w:tab w:val="left" w:pos="1843"/>
        </w:tabs>
        <w:ind w:left="1843" w:hanging="284"/>
      </w:pPr>
      <w:rPr>
        <w:rFonts w:hint="default" w:ascii="Wingdings" w:hAnsi="Wingdings"/>
      </w:rPr>
    </w:lvl>
    <w:lvl w:ilvl="4" w:tentative="0">
      <w:start w:val="1"/>
      <w:numFmt w:val="lowerLetter"/>
      <w:lvlText w:val="%5)"/>
      <w:lvlJc w:val="left"/>
      <w:pPr>
        <w:tabs>
          <w:tab w:val="left" w:pos="2810"/>
        </w:tabs>
        <w:ind w:left="2810" w:hanging="420"/>
      </w:pPr>
      <w:rPr>
        <w:rFonts w:cs="Times New Roman"/>
      </w:rPr>
    </w:lvl>
    <w:lvl w:ilvl="5" w:tentative="0">
      <w:start w:val="1"/>
      <w:numFmt w:val="lowerRoman"/>
      <w:lvlText w:val="%6."/>
      <w:lvlJc w:val="right"/>
      <w:pPr>
        <w:tabs>
          <w:tab w:val="left" w:pos="3230"/>
        </w:tabs>
        <w:ind w:left="3230" w:hanging="420"/>
      </w:pPr>
      <w:rPr>
        <w:rFonts w:cs="Times New Roman"/>
      </w:rPr>
    </w:lvl>
    <w:lvl w:ilvl="6" w:tentative="0">
      <w:start w:val="1"/>
      <w:numFmt w:val="decimal"/>
      <w:lvlText w:val="%7."/>
      <w:lvlJc w:val="left"/>
      <w:pPr>
        <w:tabs>
          <w:tab w:val="left" w:pos="3650"/>
        </w:tabs>
        <w:ind w:left="3650" w:hanging="420"/>
      </w:pPr>
      <w:rPr>
        <w:rFonts w:cs="Times New Roman"/>
      </w:rPr>
    </w:lvl>
    <w:lvl w:ilvl="7" w:tentative="0">
      <w:start w:val="1"/>
      <w:numFmt w:val="lowerLetter"/>
      <w:lvlText w:val="%8)"/>
      <w:lvlJc w:val="left"/>
      <w:pPr>
        <w:tabs>
          <w:tab w:val="left" w:pos="4070"/>
        </w:tabs>
        <w:ind w:left="4070" w:hanging="420"/>
      </w:pPr>
      <w:rPr>
        <w:rFonts w:cs="Times New Roman"/>
      </w:rPr>
    </w:lvl>
    <w:lvl w:ilvl="8" w:tentative="0">
      <w:start w:val="1"/>
      <w:numFmt w:val="lowerRoman"/>
      <w:lvlText w:val="%9."/>
      <w:lvlJc w:val="right"/>
      <w:pPr>
        <w:tabs>
          <w:tab w:val="left" w:pos="4490"/>
        </w:tabs>
        <w:ind w:left="4490" w:hanging="420"/>
      </w:pPr>
      <w:rPr>
        <w:rFonts w:cs="Times New Roman"/>
      </w:rPr>
    </w:lvl>
  </w:abstractNum>
  <w:abstractNum w:abstractNumId="14">
    <w:nsid w:val="20E82A97"/>
    <w:multiLevelType w:val="singleLevel"/>
    <w:tmpl w:val="20E82A97"/>
    <w:lvl w:ilvl="0" w:tentative="0">
      <w:start w:val="1"/>
      <w:numFmt w:val="decimal"/>
      <w:pStyle w:val="228"/>
      <w:lvlText w:val="%1、"/>
      <w:lvlJc w:val="left"/>
      <w:pPr>
        <w:tabs>
          <w:tab w:val="left" w:pos="948"/>
        </w:tabs>
        <w:ind w:left="948" w:hanging="360"/>
      </w:pPr>
      <w:rPr>
        <w:rFonts w:cs="Times New Roman"/>
      </w:rPr>
    </w:lvl>
  </w:abstractNum>
  <w:abstractNum w:abstractNumId="15">
    <w:nsid w:val="313032EA"/>
    <w:multiLevelType w:val="multilevel"/>
    <w:tmpl w:val="313032EA"/>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38001F42"/>
    <w:multiLevelType w:val="multilevel"/>
    <w:tmpl w:val="38001F42"/>
    <w:lvl w:ilvl="0" w:tentative="0">
      <w:start w:val="1"/>
      <w:numFmt w:val="bullet"/>
      <w:pStyle w:val="23"/>
      <w:lvlText w:val=""/>
      <w:lvlJc w:val="left"/>
      <w:pPr>
        <w:tabs>
          <w:tab w:val="left" w:pos="735"/>
        </w:tabs>
        <w:ind w:left="735" w:hanging="420"/>
      </w:pPr>
      <w:rPr>
        <w:rFonts w:hint="default" w:ascii="Symbol" w:hAnsi="Symbol"/>
        <w:color w:val="auto"/>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3A8C4C78"/>
    <w:multiLevelType w:val="multilevel"/>
    <w:tmpl w:val="3A8C4C78"/>
    <w:lvl w:ilvl="0" w:tentative="0">
      <w:start w:val="1"/>
      <w:numFmt w:val="decimal"/>
      <w:lvlText w:val="格式%1"/>
      <w:lvlJc w:val="left"/>
      <w:pPr>
        <w:tabs>
          <w:tab w:val="left" w:pos="425"/>
        </w:tabs>
        <w:ind w:left="425" w:hanging="425"/>
      </w:pPr>
      <w:rPr>
        <w:rFonts w:hint="eastAsia" w:ascii="黑体" w:eastAsia="黑体" w:cs="Times New Roman"/>
        <w:b w:val="0"/>
        <w:color w:val="auto"/>
        <w:sz w:val="28"/>
        <w:szCs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2356"/>
        </w:tabs>
        <w:ind w:left="1984" w:hanging="708"/>
      </w:pPr>
      <w:rPr>
        <w:rFonts w:hint="eastAsia" w:cs="Times New Roman"/>
      </w:rPr>
    </w:lvl>
    <w:lvl w:ilvl="4" w:tentative="0">
      <w:start w:val="1"/>
      <w:numFmt w:val="decimal"/>
      <w:lvlText w:val="%1.%2.%3.%4.%5"/>
      <w:lvlJc w:val="left"/>
      <w:pPr>
        <w:tabs>
          <w:tab w:val="left" w:pos="2781"/>
        </w:tabs>
        <w:ind w:left="2551" w:hanging="850"/>
      </w:pPr>
      <w:rPr>
        <w:rFonts w:hint="eastAsia" w:cs="Times New Roman"/>
      </w:rPr>
    </w:lvl>
    <w:lvl w:ilvl="5" w:tentative="0">
      <w:start w:val="1"/>
      <w:numFmt w:val="decimal"/>
      <w:lvlText w:val="%1.%2.%3.%4.%5.%6"/>
      <w:lvlJc w:val="left"/>
      <w:pPr>
        <w:tabs>
          <w:tab w:val="left" w:pos="3566"/>
        </w:tabs>
        <w:ind w:left="3260" w:hanging="1134"/>
      </w:pPr>
      <w:rPr>
        <w:rFonts w:hint="eastAsia" w:cs="Times New Roman"/>
      </w:rPr>
    </w:lvl>
    <w:lvl w:ilvl="6" w:tentative="0">
      <w:start w:val="1"/>
      <w:numFmt w:val="decimal"/>
      <w:lvlText w:val="%1.%2.%3.%4.%5.%6.%7"/>
      <w:lvlJc w:val="left"/>
      <w:pPr>
        <w:tabs>
          <w:tab w:val="left" w:pos="3991"/>
        </w:tabs>
        <w:ind w:left="3827" w:hanging="1276"/>
      </w:pPr>
      <w:rPr>
        <w:rFonts w:hint="eastAsia" w:cs="Times New Roman"/>
      </w:rPr>
    </w:lvl>
    <w:lvl w:ilvl="7" w:tentative="0">
      <w:start w:val="1"/>
      <w:numFmt w:val="decimal"/>
      <w:lvlText w:val="%1.%2.%3.%4.%5.%6.%7.%8"/>
      <w:lvlJc w:val="left"/>
      <w:pPr>
        <w:tabs>
          <w:tab w:val="left" w:pos="4776"/>
        </w:tabs>
        <w:ind w:left="4394" w:hanging="1418"/>
      </w:pPr>
      <w:rPr>
        <w:rFonts w:hint="eastAsia" w:cs="Times New Roman"/>
      </w:rPr>
    </w:lvl>
    <w:lvl w:ilvl="8" w:tentative="0">
      <w:start w:val="1"/>
      <w:numFmt w:val="decimal"/>
      <w:lvlText w:val="%1.%2.%3.%4.%5.%6.%7.%8.%9"/>
      <w:lvlJc w:val="left"/>
      <w:pPr>
        <w:tabs>
          <w:tab w:val="left" w:pos="5202"/>
        </w:tabs>
        <w:ind w:left="5102" w:hanging="1700"/>
      </w:pPr>
      <w:rPr>
        <w:rFonts w:hint="eastAsia" w:cs="Times New Roman"/>
      </w:rPr>
    </w:lvl>
  </w:abstractNum>
  <w:abstractNum w:abstractNumId="18">
    <w:nsid w:val="59E46495"/>
    <w:multiLevelType w:val="singleLevel"/>
    <w:tmpl w:val="59E46495"/>
    <w:lvl w:ilvl="0" w:tentative="0">
      <w:start w:val="9"/>
      <w:numFmt w:val="chineseCounting"/>
      <w:suff w:val="nothing"/>
      <w:lvlText w:val="%1、"/>
      <w:lvlJc w:val="left"/>
      <w:rPr>
        <w:rFonts w:cs="Times New Roman"/>
      </w:rPr>
    </w:lvl>
  </w:abstractNum>
  <w:abstractNum w:abstractNumId="19">
    <w:nsid w:val="59F689A2"/>
    <w:multiLevelType w:val="singleLevel"/>
    <w:tmpl w:val="59F689A2"/>
    <w:lvl w:ilvl="0" w:tentative="0">
      <w:start w:val="8"/>
      <w:numFmt w:val="chineseCounting"/>
      <w:suff w:val="nothing"/>
      <w:lvlText w:val="%1、"/>
      <w:lvlJc w:val="left"/>
      <w:rPr>
        <w:rFonts w:cs="Times New Roman"/>
      </w:rPr>
    </w:lvl>
  </w:abstractNum>
  <w:abstractNum w:abstractNumId="20">
    <w:nsid w:val="5A1CC553"/>
    <w:multiLevelType w:val="multilevel"/>
    <w:tmpl w:val="5A1CC553"/>
    <w:lvl w:ilvl="0" w:tentative="0">
      <w:start w:val="1"/>
      <w:numFmt w:val="decimal"/>
      <w:lvlText w:val="%1."/>
      <w:lvlJc w:val="left"/>
      <w:pPr>
        <w:tabs>
          <w:tab w:val="left" w:pos="590"/>
        </w:tabs>
        <w:ind w:left="590" w:hanging="420"/>
      </w:pPr>
      <w:rPr>
        <w:rFonts w:ascii="宋体" w:hAnsi="宋体" w:eastAsia="宋体"/>
      </w:rPr>
    </w:lvl>
    <w:lvl w:ilvl="1" w:tentative="0">
      <w:start w:val="1"/>
      <w:numFmt w:val="decimal"/>
      <w:lvlText w:val="%2、"/>
      <w:lvlJc w:val="left"/>
      <w:pPr>
        <w:tabs>
          <w:tab w:val="left" w:pos="950"/>
        </w:tabs>
        <w:ind w:left="950" w:hanging="360"/>
      </w:pPr>
      <w:rPr>
        <w:rFonts w:hint="eastAsia"/>
      </w:rPr>
    </w:lvl>
    <w:lvl w:ilvl="2" w:tentative="0">
      <w:start w:val="1"/>
      <w:numFmt w:val="lowerRoman"/>
      <w:lvlText w:val="%3."/>
      <w:lvlJc w:val="right"/>
      <w:pPr>
        <w:tabs>
          <w:tab w:val="left" w:pos="1430"/>
        </w:tabs>
        <w:ind w:left="1430" w:hanging="420"/>
      </w:pPr>
    </w:lvl>
    <w:lvl w:ilvl="3" w:tentative="0">
      <w:start w:val="1"/>
      <w:numFmt w:val="decimal"/>
      <w:lvlText w:val="%4."/>
      <w:lvlJc w:val="left"/>
      <w:pPr>
        <w:tabs>
          <w:tab w:val="left" w:pos="1850"/>
        </w:tabs>
        <w:ind w:left="1850" w:hanging="420"/>
      </w:pPr>
    </w:lvl>
    <w:lvl w:ilvl="4" w:tentative="0">
      <w:start w:val="1"/>
      <w:numFmt w:val="lowerLetter"/>
      <w:lvlText w:val="%5)"/>
      <w:lvlJc w:val="left"/>
      <w:pPr>
        <w:tabs>
          <w:tab w:val="left" w:pos="2270"/>
        </w:tabs>
        <w:ind w:left="2270" w:hanging="420"/>
      </w:pPr>
    </w:lvl>
    <w:lvl w:ilvl="5" w:tentative="0">
      <w:start w:val="1"/>
      <w:numFmt w:val="lowerRoman"/>
      <w:lvlText w:val="%6."/>
      <w:lvlJc w:val="right"/>
      <w:pPr>
        <w:tabs>
          <w:tab w:val="left" w:pos="2690"/>
        </w:tabs>
        <w:ind w:left="2690" w:hanging="420"/>
      </w:pPr>
    </w:lvl>
    <w:lvl w:ilvl="6" w:tentative="0">
      <w:start w:val="1"/>
      <w:numFmt w:val="decimal"/>
      <w:lvlText w:val="%7."/>
      <w:lvlJc w:val="left"/>
      <w:pPr>
        <w:tabs>
          <w:tab w:val="left" w:pos="3110"/>
        </w:tabs>
        <w:ind w:left="3110" w:hanging="420"/>
      </w:pPr>
    </w:lvl>
    <w:lvl w:ilvl="7" w:tentative="0">
      <w:start w:val="1"/>
      <w:numFmt w:val="lowerLetter"/>
      <w:lvlText w:val="%8)"/>
      <w:lvlJc w:val="left"/>
      <w:pPr>
        <w:tabs>
          <w:tab w:val="left" w:pos="3530"/>
        </w:tabs>
        <w:ind w:left="3530" w:hanging="420"/>
      </w:pPr>
    </w:lvl>
    <w:lvl w:ilvl="8" w:tentative="0">
      <w:start w:val="1"/>
      <w:numFmt w:val="lowerRoman"/>
      <w:lvlText w:val="%9."/>
      <w:lvlJc w:val="right"/>
      <w:pPr>
        <w:tabs>
          <w:tab w:val="left" w:pos="3950"/>
        </w:tabs>
        <w:ind w:left="3950" w:hanging="420"/>
      </w:pPr>
    </w:lvl>
  </w:abstractNum>
  <w:abstractNum w:abstractNumId="21">
    <w:nsid w:val="5A1CC574"/>
    <w:multiLevelType w:val="multilevel"/>
    <w:tmpl w:val="5A1CC574"/>
    <w:lvl w:ilvl="0" w:tentative="0">
      <w:start w:val="1"/>
      <w:numFmt w:val="decimal"/>
      <w:lvlText w:val="%1."/>
      <w:lvlJc w:val="left"/>
      <w:pPr>
        <w:tabs>
          <w:tab w:val="left" w:pos="420"/>
        </w:tabs>
        <w:ind w:left="420" w:hanging="420"/>
      </w:pPr>
      <w:rPr>
        <w:rFonts w:hint="default" w:ascii="Times New Roman" w:hAnsi="Times New Roman" w:cs="Times New Roman"/>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A1CC595"/>
    <w:multiLevelType w:val="multilevel"/>
    <w:tmpl w:val="5A1CC595"/>
    <w:lvl w:ilvl="0" w:tentative="0">
      <w:start w:val="1"/>
      <w:numFmt w:val="decimal"/>
      <w:lvlText w:val="%1．"/>
      <w:lvlJc w:val="left"/>
      <w:pPr>
        <w:tabs>
          <w:tab w:val="left" w:pos="794"/>
        </w:tabs>
        <w:ind w:left="794" w:hanging="374"/>
      </w:pPr>
      <w:rPr>
        <w:rFonts w:hint="eastAsia" w:ascii="宋体" w:hAnsi="宋体" w:eastAsia="宋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A1CC5A0"/>
    <w:multiLevelType w:val="multilevel"/>
    <w:tmpl w:val="5A1CC5A0"/>
    <w:lvl w:ilvl="0" w:tentative="0">
      <w:start w:val="1"/>
      <w:numFmt w:val="decimal"/>
      <w:lvlText w:val="%1"/>
      <w:lvlJc w:val="left"/>
      <w:pPr>
        <w:tabs>
          <w:tab w:val="left" w:pos="425"/>
        </w:tabs>
        <w:ind w:left="425" w:hanging="425"/>
      </w:pPr>
    </w:lvl>
    <w:lvl w:ilvl="1" w:tentative="0">
      <w:start w:val="1"/>
      <w:numFmt w:val="decimal"/>
      <w:lvlText w:val="%2."/>
      <w:lvlJc w:val="left"/>
      <w:pPr>
        <w:tabs>
          <w:tab w:val="left" w:pos="845"/>
        </w:tabs>
        <w:ind w:left="845" w:hanging="420"/>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24">
    <w:nsid w:val="5A1CC5C1"/>
    <w:multiLevelType w:val="multilevel"/>
    <w:tmpl w:val="5A1CC5C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A1CC5ED"/>
    <w:multiLevelType w:val="multilevel"/>
    <w:tmpl w:val="5A1CC5ED"/>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26">
    <w:nsid w:val="5A1CC603"/>
    <w:multiLevelType w:val="multilevel"/>
    <w:tmpl w:val="5A1CC603"/>
    <w:lvl w:ilvl="0" w:tentative="0">
      <w:start w:val="3"/>
      <w:numFmt w:val="decimal"/>
      <w:lvlText w:val="%1."/>
      <w:lvlJc w:val="left"/>
      <w:pPr>
        <w:tabs>
          <w:tab w:val="left" w:pos="630"/>
        </w:tabs>
        <w:ind w:left="630" w:hanging="63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A1CC645"/>
    <w:multiLevelType w:val="multilevel"/>
    <w:tmpl w:val="5A1CC645"/>
    <w:lvl w:ilvl="0" w:tentative="0">
      <w:start w:val="1"/>
      <w:numFmt w:val="upperRoman"/>
      <w:lvlText w:val="%1."/>
      <w:lvlJc w:val="left"/>
      <w:pPr>
        <w:tabs>
          <w:tab w:val="left" w:pos="425"/>
        </w:tabs>
        <w:ind w:left="425" w:hanging="425"/>
      </w:pPr>
      <w:rPr>
        <w:rFonts w:hint="eastAsia"/>
        <w:b/>
        <w:i w:val="0"/>
        <w:sz w:val="24"/>
      </w:rPr>
    </w:lvl>
    <w:lvl w:ilvl="1" w:tentative="0">
      <w:start w:val="1"/>
      <w:numFmt w:val="upperLetter"/>
      <w:lvlText w:val="%2."/>
      <w:lvlJc w:val="left"/>
      <w:pPr>
        <w:tabs>
          <w:tab w:val="left" w:pos="851"/>
        </w:tabs>
        <w:ind w:left="851" w:hanging="426"/>
      </w:pPr>
      <w:rPr>
        <w:rFonts w:hint="eastAsia"/>
        <w:b w:val="0"/>
        <w:i w:val="0"/>
        <w:color w:val="000000"/>
        <w:sz w:val="21"/>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28">
    <w:nsid w:val="5A1CC65B"/>
    <w:multiLevelType w:val="multilevel"/>
    <w:tmpl w:val="5A1CC65B"/>
    <w:lvl w:ilvl="0" w:tentative="0">
      <w:start w:val="1"/>
      <w:numFmt w:val="chineseCountingThousand"/>
      <w:lvlText w:val="%1、"/>
      <w:lvlJc w:val="left"/>
      <w:pPr>
        <w:tabs>
          <w:tab w:val="left" w:pos="720"/>
        </w:tabs>
        <w:ind w:left="170" w:hanging="170"/>
      </w:pPr>
      <w:rPr>
        <w:rFonts w:hint="eastAsia"/>
        <w:b/>
      </w:rPr>
    </w:lvl>
    <w:lvl w:ilvl="1" w:tentative="0">
      <w:start w:val="1"/>
      <w:numFmt w:val="decimal"/>
      <w:lvlText w:val="%2．"/>
      <w:lvlJc w:val="left"/>
      <w:pPr>
        <w:tabs>
          <w:tab w:val="left" w:pos="794"/>
        </w:tabs>
        <w:ind w:left="794" w:hanging="374"/>
      </w:pPr>
      <w:rPr>
        <w:rFonts w:hint="eastAsia" w:ascii="宋体" w:hAnsi="宋体" w:eastAsia="宋体"/>
        <w:b w:val="0"/>
        <w:i w:val="0"/>
        <w:sz w:val="21"/>
      </w:rPr>
    </w:lvl>
    <w:lvl w:ilvl="2" w:tentative="0">
      <w:start w:val="1"/>
      <w:numFmt w:val="lowerLetter"/>
      <w:lvlText w:val="%3)"/>
      <w:lvlJc w:val="left"/>
      <w:pPr>
        <w:tabs>
          <w:tab w:val="left" w:pos="1200"/>
        </w:tabs>
        <w:ind w:left="1180" w:hanging="340"/>
      </w:pPr>
      <w:rPr>
        <w:rFonts w:hint="eastAsia" w:ascii="宋体" w:eastAsia="宋体"/>
        <w:b w:val="0"/>
        <w:i w:val="0"/>
        <w:sz w:val="21"/>
      </w:rPr>
    </w:lvl>
    <w:lvl w:ilvl="3" w:tentative="0">
      <w:start w:val="1"/>
      <w:numFmt w:val="decimal"/>
      <w:lvlText w:val="%4."/>
      <w:lvlJc w:val="left"/>
      <w:pPr>
        <w:tabs>
          <w:tab w:val="left" w:pos="1680"/>
        </w:tabs>
        <w:ind w:left="1680" w:hanging="420"/>
      </w:pPr>
      <w:rPr>
        <w:rFonts w:hint="eastAsia"/>
        <w:b w:val="0"/>
      </w:rPr>
    </w:lvl>
    <w:lvl w:ilvl="4" w:tentative="0">
      <w:start w:val="1"/>
      <w:numFmt w:val="decimal"/>
      <w:lvlText w:val="%5）"/>
      <w:lvlJc w:val="left"/>
      <w:pPr>
        <w:tabs>
          <w:tab w:val="left" w:pos="2040"/>
        </w:tabs>
        <w:ind w:left="2040" w:hanging="360"/>
      </w:pPr>
      <w:rPr>
        <w:rFonts w:hint="default"/>
        <w:b w:val="0"/>
        <w:sz w:val="21"/>
        <w:szCs w:val="21"/>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A1CC692"/>
    <w:multiLevelType w:val="multilevel"/>
    <w:tmpl w:val="5A1CC69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C7716BB"/>
    <w:multiLevelType w:val="singleLevel"/>
    <w:tmpl w:val="5C7716BB"/>
    <w:lvl w:ilvl="0" w:tentative="0">
      <w:start w:val="1"/>
      <w:numFmt w:val="decimal"/>
      <w:pStyle w:val="121"/>
      <w:lvlText w:val="%1)"/>
      <w:lvlJc w:val="left"/>
      <w:pPr>
        <w:tabs>
          <w:tab w:val="left" w:pos="425"/>
        </w:tabs>
        <w:ind w:left="425" w:hanging="425"/>
      </w:pPr>
      <w:rPr>
        <w:rFonts w:cs="Times New Roman"/>
      </w:rPr>
    </w:lvl>
  </w:abstractNum>
  <w:abstractNum w:abstractNumId="31">
    <w:nsid w:val="6A6C0268"/>
    <w:multiLevelType w:val="multilevel"/>
    <w:tmpl w:val="6A6C0268"/>
    <w:lvl w:ilvl="0" w:tentative="0">
      <w:start w:val="1"/>
      <w:numFmt w:val="none"/>
      <w:suff w:val="space"/>
      <w:lvlText w:val=""/>
      <w:lvlJc w:val="left"/>
      <w:pPr>
        <w:ind w:left="964" w:hanging="397"/>
      </w:pPr>
      <w:rPr>
        <w:rFonts w:cs="Times New Roman"/>
      </w:rPr>
    </w:lvl>
    <w:lvl w:ilvl="1" w:tentative="0">
      <w:start w:val="1"/>
      <w:numFmt w:val="decimal"/>
      <w:isLgl/>
      <w:suff w:val="space"/>
      <w:lvlText w:val="&lt;%2&gt;"/>
      <w:lvlJc w:val="left"/>
      <w:pPr>
        <w:ind w:left="964" w:hanging="397"/>
      </w:pPr>
      <w:rPr>
        <w:rFonts w:cs="Times New Roman"/>
      </w:rPr>
    </w:lvl>
    <w:lvl w:ilvl="2" w:tentative="0">
      <w:start w:val="1"/>
      <w:numFmt w:val="bullet"/>
      <w:suff w:val="space"/>
      <w:lvlText w:val=""/>
      <w:lvlJc w:val="left"/>
      <w:pPr>
        <w:ind w:left="851" w:hanging="426"/>
      </w:pPr>
      <w:rPr>
        <w:rFonts w:hint="default" w:ascii="Wingdings" w:hAnsi="Wingdings"/>
      </w:rPr>
    </w:lvl>
    <w:lvl w:ilvl="3" w:tentative="0">
      <w:start w:val="1"/>
      <w:numFmt w:val="bullet"/>
      <w:suff w:val="space"/>
      <w:lvlText w:val=""/>
      <w:lvlJc w:val="left"/>
      <w:pPr>
        <w:ind w:left="851" w:hanging="426"/>
      </w:pPr>
      <w:rPr>
        <w:rFonts w:hint="default" w:ascii="Wingdings" w:hAnsi="Wingdings"/>
      </w:rPr>
    </w:lvl>
    <w:lvl w:ilvl="4" w:tentative="0">
      <w:start w:val="1"/>
      <w:numFmt w:val="bullet"/>
      <w:pStyle w:val="450"/>
      <w:suff w:val="space"/>
      <w:lvlText w:val=""/>
      <w:lvlJc w:val="left"/>
      <w:pPr>
        <w:ind w:left="737" w:hanging="312"/>
      </w:pPr>
      <w:rPr>
        <w:rFonts w:hint="default" w:ascii="Wingdings" w:hAnsi="Wingdings"/>
        <w:color w:val="auto"/>
        <w:sz w:val="15"/>
      </w:rPr>
    </w:lvl>
    <w:lvl w:ilvl="5" w:tentative="0">
      <w:start w:val="1"/>
      <w:numFmt w:val="none"/>
      <w:suff w:val="nothing"/>
      <w:lvlText w:val=""/>
      <w:lvlJc w:val="left"/>
      <w:pPr>
        <w:ind w:left="2410" w:hanging="426"/>
      </w:pPr>
      <w:rPr>
        <w:rFonts w:cs="Times New Roman"/>
      </w:rPr>
    </w:lvl>
    <w:lvl w:ilvl="6" w:tentative="0">
      <w:start w:val="1"/>
      <w:numFmt w:val="none"/>
      <w:lvlText w:val=""/>
      <w:lvlJc w:val="left"/>
      <w:pPr>
        <w:tabs>
          <w:tab w:val="left" w:pos="2835"/>
        </w:tabs>
        <w:ind w:left="2835" w:hanging="426"/>
      </w:pPr>
      <w:rPr>
        <w:rFonts w:cs="Times New Roman"/>
      </w:rPr>
    </w:lvl>
    <w:lvl w:ilvl="7" w:tentative="0">
      <w:start w:val="1"/>
      <w:numFmt w:val="none"/>
      <w:lvlText w:val=""/>
      <w:lvlJc w:val="left"/>
      <w:pPr>
        <w:tabs>
          <w:tab w:val="left" w:pos="3260"/>
        </w:tabs>
        <w:ind w:left="3260" w:hanging="425"/>
      </w:pPr>
      <w:rPr>
        <w:rFonts w:cs="Times New Roman"/>
      </w:rPr>
    </w:lvl>
    <w:lvl w:ilvl="8" w:tentative="0">
      <w:start w:val="1"/>
      <w:numFmt w:val="none"/>
      <w:lvlText w:val=""/>
      <w:lvlJc w:val="left"/>
      <w:pPr>
        <w:tabs>
          <w:tab w:val="left" w:pos="360"/>
        </w:tabs>
      </w:pPr>
      <w:rPr>
        <w:rFonts w:cs="Times New Roman"/>
      </w:rPr>
    </w:lvl>
  </w:abstractNum>
  <w:abstractNum w:abstractNumId="32">
    <w:nsid w:val="6C47326F"/>
    <w:multiLevelType w:val="multilevel"/>
    <w:tmpl w:val="6C47326F"/>
    <w:lvl w:ilvl="0" w:tentative="0">
      <w:start w:val="1"/>
      <w:numFmt w:val="decimal"/>
      <w:suff w:val="nothing"/>
      <w:lvlText w:val="第%1章、"/>
      <w:lvlJc w:val="left"/>
      <w:rPr>
        <w:rFonts w:hint="eastAsia" w:ascii="宋体" w:hAnsi="宋体" w:eastAsia="宋体" w:cs="Times New Roman"/>
        <w:b/>
        <w:i w:val="0"/>
        <w:sz w:val="32"/>
        <w:szCs w:val="32"/>
      </w:rPr>
    </w:lvl>
    <w:lvl w:ilvl="1" w:tentative="0">
      <w:start w:val="1"/>
      <w:numFmt w:val="decimal"/>
      <w:pStyle w:val="405"/>
      <w:suff w:val="nothing"/>
      <w:lvlText w:val="%1.%2、"/>
      <w:lvlJc w:val="left"/>
      <w:pPr>
        <w:ind w:left="1843"/>
      </w:pPr>
      <w:rPr>
        <w:rFonts w:hint="eastAsia" w:ascii="宋体" w:hAnsi="宋体" w:eastAsia="宋体" w:cs="Times New Roman"/>
        <w:b/>
        <w:i w:val="0"/>
        <w:sz w:val="30"/>
        <w:szCs w:val="30"/>
      </w:rPr>
    </w:lvl>
    <w:lvl w:ilvl="2" w:tentative="0">
      <w:start w:val="1"/>
      <w:numFmt w:val="decimal"/>
      <w:suff w:val="nothing"/>
      <w:lvlText w:val="%1.%2.%3、"/>
      <w:lvlJc w:val="left"/>
      <w:rPr>
        <w:rFonts w:hint="eastAsia" w:ascii="宋体" w:hAnsi="宋体" w:eastAsia="宋体" w:cs="Times New Roman"/>
        <w:b/>
        <w:i w:val="0"/>
        <w:sz w:val="28"/>
        <w:szCs w:val="28"/>
      </w:rPr>
    </w:lvl>
    <w:lvl w:ilvl="3" w:tentative="0">
      <w:start w:val="1"/>
      <w:numFmt w:val="decimal"/>
      <w:suff w:val="nothing"/>
      <w:lvlText w:val="%1.%2.%3.%4、"/>
      <w:lvlJc w:val="left"/>
      <w:rPr>
        <w:rFonts w:hint="eastAsia" w:ascii="宋体" w:hAnsi="宋体" w:eastAsia="宋体" w:cs="Times New Roman"/>
        <w:b/>
        <w:sz w:val="24"/>
        <w:szCs w:val="24"/>
      </w:rPr>
    </w:lvl>
    <w:lvl w:ilvl="4" w:tentative="0">
      <w:start w:val="1"/>
      <w:numFmt w:val="decimal"/>
      <w:lvlText w:val="%1.%2.%3.%4.%5、"/>
      <w:lvlJc w:val="left"/>
      <w:pPr>
        <w:tabs>
          <w:tab w:val="left" w:pos="992"/>
        </w:tabs>
      </w:pPr>
      <w:rPr>
        <w:rFonts w:hint="eastAsia" w:ascii="宋体" w:hAnsi="宋体" w:eastAsia="宋体" w:cs="Times New Roman"/>
      </w:rPr>
    </w:lvl>
    <w:lvl w:ilvl="5" w:tentative="0">
      <w:start w:val="1"/>
      <w:numFmt w:val="none"/>
      <w:lvlText w:val=""/>
      <w:lvlJc w:val="left"/>
      <w:pPr>
        <w:tabs>
          <w:tab w:val="left" w:pos="1134"/>
        </w:tabs>
        <w:ind w:left="1134" w:hanging="1134"/>
      </w:pPr>
      <w:rPr>
        <w:rFonts w:cs="Times New Roman"/>
      </w:rPr>
    </w:lvl>
    <w:lvl w:ilvl="6" w:tentative="0">
      <w:start w:val="1"/>
      <w:numFmt w:val="none"/>
      <w:lvlText w:val=""/>
      <w:lvlJc w:val="left"/>
      <w:pPr>
        <w:tabs>
          <w:tab w:val="left" w:pos="1276"/>
        </w:tabs>
        <w:ind w:left="1276" w:hanging="1276"/>
      </w:pPr>
      <w:rPr>
        <w:rFonts w:cs="Times New Roman"/>
      </w:rPr>
    </w:lvl>
    <w:lvl w:ilvl="7" w:tentative="0">
      <w:start w:val="1"/>
      <w:numFmt w:val="none"/>
      <w:lvlText w:val=""/>
      <w:lvlJc w:val="left"/>
      <w:pPr>
        <w:tabs>
          <w:tab w:val="left" w:pos="1418"/>
        </w:tabs>
        <w:ind w:left="1418" w:hanging="1418"/>
      </w:pPr>
      <w:rPr>
        <w:rFonts w:cs="Times New Roman"/>
      </w:rPr>
    </w:lvl>
    <w:lvl w:ilvl="8" w:tentative="0">
      <w:start w:val="1"/>
      <w:numFmt w:val="none"/>
      <w:lvlText w:val=""/>
      <w:lvlJc w:val="left"/>
      <w:pPr>
        <w:tabs>
          <w:tab w:val="left" w:pos="1559"/>
        </w:tabs>
        <w:ind w:left="1559" w:hanging="1559"/>
      </w:pPr>
      <w:rPr>
        <w:rFonts w:cs="Times New Roman"/>
      </w:rPr>
    </w:lvl>
  </w:abstractNum>
  <w:abstractNum w:abstractNumId="33">
    <w:nsid w:val="73887025"/>
    <w:multiLevelType w:val="multilevel"/>
    <w:tmpl w:val="73887025"/>
    <w:lvl w:ilvl="0" w:tentative="0">
      <w:start w:val="1"/>
      <w:numFmt w:val="decimal"/>
      <w:pStyle w:val="207"/>
      <w:suff w:val="nothing"/>
      <w:lvlText w:val="%1."/>
      <w:lvlJc w:val="left"/>
      <w:pPr>
        <w:ind w:left="180"/>
      </w:pPr>
      <w:rPr>
        <w:rFonts w:hint="eastAsia" w:ascii="宋体" w:hAnsi="宋体" w:eastAsia="宋体" w:cs="Times New Roman"/>
        <w:b w:val="0"/>
        <w:i w:val="0"/>
        <w:caps w:val="0"/>
        <w:strike w:val="0"/>
        <w:dstrike w:val="0"/>
        <w:outline w:val="0"/>
        <w:shadow w:val="0"/>
        <w:emboss w:val="0"/>
        <w:imprint w:val="0"/>
        <w:vanish w:val="0"/>
        <w:spacing w:val="0"/>
        <w:position w:val="0"/>
        <w:sz w:val="28"/>
        <w:szCs w:val="28"/>
        <w:u w:val="none"/>
        <w:vertAlign w:val="baseline"/>
      </w:rPr>
    </w:lvl>
    <w:lvl w:ilvl="1" w:tentative="0">
      <w:start w:val="1"/>
      <w:numFmt w:val="decimal"/>
      <w:pStyle w:val="253"/>
      <w:suff w:val="nothing"/>
      <w:lvlText w:val="%1.%2"/>
      <w:lvlJc w:val="left"/>
      <w:pPr>
        <w:ind w:left="3836" w:hanging="3836"/>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pStyle w:val="282"/>
      <w:suff w:val="nothing"/>
      <w:lvlText w:val="%3）"/>
      <w:lvlJc w:val="left"/>
      <w:pPr>
        <w:ind w:left="170" w:hanging="170"/>
      </w:pPr>
      <w:rPr>
        <w:rFonts w:cs="Times New Roman"/>
        <w:i w:val="0"/>
        <w:strike w:val="0"/>
        <w:dstrike w:val="0"/>
        <w:outline w:val="0"/>
        <w:shadow w:val="0"/>
        <w:emboss w:val="0"/>
        <w:imprint w:val="0"/>
        <w:u w:val="none"/>
      </w:rPr>
    </w:lvl>
    <w:lvl w:ilvl="3" w:tentative="0">
      <w:start w:val="1"/>
      <w:numFmt w:val="decimal"/>
      <w:pStyle w:val="315"/>
      <w:suff w:val="nothing"/>
      <w:lvlText w:val="%1.%2.%3.%4"/>
      <w:lvlJc w:val="left"/>
      <w:pPr>
        <w:ind w:left="284" w:hanging="227"/>
      </w:pPr>
      <w:rPr>
        <w:rFonts w:cs="Times New Roman"/>
        <w:b w:val="0"/>
        <w:i w:val="0"/>
      </w:rPr>
    </w:lvl>
    <w:lvl w:ilvl="4" w:tentative="0">
      <w:start w:val="1"/>
      <w:numFmt w:val="decimal"/>
      <w:pStyle w:val="229"/>
      <w:suff w:val="nothing"/>
      <w:lvlText w:val="%1.%2.%3.%4.%5"/>
      <w:lvlJc w:val="left"/>
      <w:pPr>
        <w:ind w:left="397" w:hanging="340"/>
      </w:pPr>
      <w:rPr>
        <w:rFonts w:hint="eastAsia" w:ascii="宋体" w:hAnsi="Times New Roman" w:eastAsia="宋体" w:cs="Times New Roman"/>
        <w:b w:val="0"/>
        <w:i w:val="0"/>
        <w:caps w:val="0"/>
        <w:strike w:val="0"/>
        <w:dstrike w:val="0"/>
        <w:outline w:val="0"/>
        <w:shadow w:val="0"/>
        <w:emboss w:val="0"/>
        <w:imprint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cs="Times New Roman"/>
      </w:rPr>
    </w:lvl>
    <w:lvl w:ilvl="6" w:tentative="0">
      <w:start w:val="1"/>
      <w:numFmt w:val="decimal"/>
      <w:lvlText w:val="%1.%2.%3.%4.%5.%6.%7"/>
      <w:lvlJc w:val="left"/>
      <w:pPr>
        <w:tabs>
          <w:tab w:val="left" w:pos="4505"/>
        </w:tabs>
        <w:ind w:left="3981" w:hanging="1276"/>
      </w:pPr>
      <w:rPr>
        <w:rFonts w:cs="Times New Roman"/>
      </w:rPr>
    </w:lvl>
    <w:lvl w:ilvl="7" w:tentative="0">
      <w:start w:val="1"/>
      <w:numFmt w:val="decimal"/>
      <w:lvlText w:val="%1.%2.%3.%4.%5.%6.%7.%8"/>
      <w:lvlJc w:val="left"/>
      <w:pPr>
        <w:tabs>
          <w:tab w:val="left" w:pos="5290"/>
        </w:tabs>
        <w:ind w:left="4548" w:hanging="1418"/>
      </w:pPr>
      <w:rPr>
        <w:rFonts w:cs="Times New Roman"/>
      </w:rPr>
    </w:lvl>
    <w:lvl w:ilvl="8" w:tentative="0">
      <w:start w:val="1"/>
      <w:numFmt w:val="decimal"/>
      <w:lvlText w:val="%1.%2.%3.%4.%5.%6.%7.%8.%9"/>
      <w:lvlJc w:val="left"/>
      <w:pPr>
        <w:tabs>
          <w:tab w:val="left" w:pos="5716"/>
        </w:tabs>
        <w:ind w:left="5256" w:hanging="1700"/>
      </w:pPr>
      <w:rPr>
        <w:rFonts w:cs="Times New Roman"/>
      </w:rPr>
    </w:lvl>
  </w:abstractNum>
  <w:num w:numId="1">
    <w:abstractNumId w:val="16"/>
  </w:num>
  <w:num w:numId="2">
    <w:abstractNumId w:val="13"/>
    <w:lvlOverride w:ilvl="0">
      <w:startOverride w:val="1"/>
    </w:lvlOverride>
    <w:lvlOverride w:ilvl="1">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num>
  <w:num w:numId="4">
    <w:abstractNumId w:val="1"/>
    <w:lvlOverride w:ilvl="0">
      <w:startOverride w:val="1"/>
    </w:lvlOverride>
    <w:lvlOverride w:ilvl="1">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19"/>
  </w:num>
  <w:num w:numId="16">
    <w:abstractNumId w:val="18"/>
  </w:num>
  <w:num w:numId="17">
    <w:abstractNumId w:val="5"/>
  </w:num>
  <w:num w:numId="18">
    <w:abstractNumId w:val="7"/>
    <w:lvlOverride w:ilvl="1">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8"/>
  </w:num>
  <w:num w:numId="22">
    <w:abstractNumId w:val="24"/>
  </w:num>
  <w:num w:numId="23">
    <w:abstractNumId w:val="26"/>
  </w:num>
  <w:num w:numId="24">
    <w:abstractNumId w:val="23"/>
  </w:num>
  <w:num w:numId="25">
    <w:abstractNumId w:val="29"/>
  </w:num>
  <w:num w:numId="26">
    <w:abstractNumId w:val="27"/>
  </w:num>
  <w:num w:numId="27">
    <w:abstractNumId w:val="21"/>
  </w:num>
  <w:num w:numId="28">
    <w:abstractNumId w:val="22"/>
  </w:num>
  <w:num w:numId="29">
    <w:abstractNumId w:val="25"/>
  </w:num>
  <w:num w:numId="30">
    <w:abstractNumId w:val="20"/>
  </w:num>
  <w:num w:numId="31">
    <w:abstractNumId w:val="11"/>
  </w:num>
  <w:num w:numId="32">
    <w:abstractNumId w:val="9"/>
  </w:num>
  <w:num w:numId="33">
    <w:abstractNumId w:val="17"/>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FB2"/>
    <w:rsid w:val="0000027D"/>
    <w:rsid w:val="00004A88"/>
    <w:rsid w:val="0000630B"/>
    <w:rsid w:val="00006D90"/>
    <w:rsid w:val="00021077"/>
    <w:rsid w:val="000307AE"/>
    <w:rsid w:val="00030982"/>
    <w:rsid w:val="00044EAF"/>
    <w:rsid w:val="000461F6"/>
    <w:rsid w:val="00051BAF"/>
    <w:rsid w:val="00072820"/>
    <w:rsid w:val="00074B82"/>
    <w:rsid w:val="0007749D"/>
    <w:rsid w:val="0007771F"/>
    <w:rsid w:val="00081AF9"/>
    <w:rsid w:val="000825B7"/>
    <w:rsid w:val="00083A5D"/>
    <w:rsid w:val="000872C4"/>
    <w:rsid w:val="0009591E"/>
    <w:rsid w:val="0009706E"/>
    <w:rsid w:val="000A20CD"/>
    <w:rsid w:val="000B009D"/>
    <w:rsid w:val="000B06AC"/>
    <w:rsid w:val="000B692A"/>
    <w:rsid w:val="000C0371"/>
    <w:rsid w:val="000C0418"/>
    <w:rsid w:val="000C7445"/>
    <w:rsid w:val="000D4CBC"/>
    <w:rsid w:val="000D66C4"/>
    <w:rsid w:val="000D75DA"/>
    <w:rsid w:val="000D7E3D"/>
    <w:rsid w:val="000E1305"/>
    <w:rsid w:val="000E1521"/>
    <w:rsid w:val="000E262C"/>
    <w:rsid w:val="000E6199"/>
    <w:rsid w:val="000E6A9B"/>
    <w:rsid w:val="000F2462"/>
    <w:rsid w:val="000F527B"/>
    <w:rsid w:val="000F7F32"/>
    <w:rsid w:val="001035F2"/>
    <w:rsid w:val="00105E00"/>
    <w:rsid w:val="001060E1"/>
    <w:rsid w:val="00132D51"/>
    <w:rsid w:val="00135B1E"/>
    <w:rsid w:val="001370FC"/>
    <w:rsid w:val="00137355"/>
    <w:rsid w:val="00146021"/>
    <w:rsid w:val="00146857"/>
    <w:rsid w:val="00150F01"/>
    <w:rsid w:val="00164282"/>
    <w:rsid w:val="00165DC8"/>
    <w:rsid w:val="00167D62"/>
    <w:rsid w:val="00176BCD"/>
    <w:rsid w:val="001770AF"/>
    <w:rsid w:val="00177B25"/>
    <w:rsid w:val="00177E76"/>
    <w:rsid w:val="0018269D"/>
    <w:rsid w:val="00184039"/>
    <w:rsid w:val="001846F8"/>
    <w:rsid w:val="001860BB"/>
    <w:rsid w:val="00193AB6"/>
    <w:rsid w:val="0019460B"/>
    <w:rsid w:val="00194D98"/>
    <w:rsid w:val="00194FB1"/>
    <w:rsid w:val="00197755"/>
    <w:rsid w:val="001A28FD"/>
    <w:rsid w:val="001A2AEC"/>
    <w:rsid w:val="001A5D1E"/>
    <w:rsid w:val="001A64CD"/>
    <w:rsid w:val="001B49F5"/>
    <w:rsid w:val="001C0FE5"/>
    <w:rsid w:val="001C2273"/>
    <w:rsid w:val="001C5448"/>
    <w:rsid w:val="001C5A75"/>
    <w:rsid w:val="001D5335"/>
    <w:rsid w:val="001D6AD9"/>
    <w:rsid w:val="001E3C05"/>
    <w:rsid w:val="001E7549"/>
    <w:rsid w:val="001F025A"/>
    <w:rsid w:val="001F3199"/>
    <w:rsid w:val="001F3EB6"/>
    <w:rsid w:val="001F7450"/>
    <w:rsid w:val="002054D9"/>
    <w:rsid w:val="002121B0"/>
    <w:rsid w:val="00213C2B"/>
    <w:rsid w:val="00220755"/>
    <w:rsid w:val="00220AFE"/>
    <w:rsid w:val="00222D55"/>
    <w:rsid w:val="00223D0A"/>
    <w:rsid w:val="00224174"/>
    <w:rsid w:val="0023462C"/>
    <w:rsid w:val="00235214"/>
    <w:rsid w:val="002375D9"/>
    <w:rsid w:val="002400CC"/>
    <w:rsid w:val="002412FB"/>
    <w:rsid w:val="00244A0B"/>
    <w:rsid w:val="00247E86"/>
    <w:rsid w:val="00250AA1"/>
    <w:rsid w:val="00251023"/>
    <w:rsid w:val="002522C5"/>
    <w:rsid w:val="00254CA0"/>
    <w:rsid w:val="00260EC1"/>
    <w:rsid w:val="00261E46"/>
    <w:rsid w:val="00266AB9"/>
    <w:rsid w:val="0027052A"/>
    <w:rsid w:val="00270D71"/>
    <w:rsid w:val="00273797"/>
    <w:rsid w:val="0027642B"/>
    <w:rsid w:val="00277980"/>
    <w:rsid w:val="00283F3F"/>
    <w:rsid w:val="00285371"/>
    <w:rsid w:val="002863A9"/>
    <w:rsid w:val="002A2326"/>
    <w:rsid w:val="002A37E3"/>
    <w:rsid w:val="002A59B2"/>
    <w:rsid w:val="002C55B1"/>
    <w:rsid w:val="002C7255"/>
    <w:rsid w:val="002D0FC5"/>
    <w:rsid w:val="002D6B39"/>
    <w:rsid w:val="002F7187"/>
    <w:rsid w:val="00303C3E"/>
    <w:rsid w:val="00304696"/>
    <w:rsid w:val="00313045"/>
    <w:rsid w:val="00320460"/>
    <w:rsid w:val="00321245"/>
    <w:rsid w:val="00321D00"/>
    <w:rsid w:val="00323951"/>
    <w:rsid w:val="00325816"/>
    <w:rsid w:val="00333449"/>
    <w:rsid w:val="00336276"/>
    <w:rsid w:val="003364D4"/>
    <w:rsid w:val="00336F82"/>
    <w:rsid w:val="00337BC1"/>
    <w:rsid w:val="0034021D"/>
    <w:rsid w:val="00343CE3"/>
    <w:rsid w:val="003441E9"/>
    <w:rsid w:val="00345623"/>
    <w:rsid w:val="003465F4"/>
    <w:rsid w:val="00353F4B"/>
    <w:rsid w:val="0035499A"/>
    <w:rsid w:val="00370098"/>
    <w:rsid w:val="0037752B"/>
    <w:rsid w:val="003802FF"/>
    <w:rsid w:val="00380CC5"/>
    <w:rsid w:val="003874DF"/>
    <w:rsid w:val="003903B7"/>
    <w:rsid w:val="00391AC6"/>
    <w:rsid w:val="00393052"/>
    <w:rsid w:val="0039506C"/>
    <w:rsid w:val="00395834"/>
    <w:rsid w:val="003966D2"/>
    <w:rsid w:val="00396DBD"/>
    <w:rsid w:val="003A0C91"/>
    <w:rsid w:val="003A3048"/>
    <w:rsid w:val="003A4AAD"/>
    <w:rsid w:val="003A6227"/>
    <w:rsid w:val="003B269A"/>
    <w:rsid w:val="003C483E"/>
    <w:rsid w:val="003C4AA5"/>
    <w:rsid w:val="003C5C3F"/>
    <w:rsid w:val="003D0E96"/>
    <w:rsid w:val="003E54CB"/>
    <w:rsid w:val="003E6855"/>
    <w:rsid w:val="003F555B"/>
    <w:rsid w:val="003F63BE"/>
    <w:rsid w:val="00402885"/>
    <w:rsid w:val="00405883"/>
    <w:rsid w:val="0040612F"/>
    <w:rsid w:val="00414D1A"/>
    <w:rsid w:val="0041536D"/>
    <w:rsid w:val="004158D2"/>
    <w:rsid w:val="00417996"/>
    <w:rsid w:val="00420159"/>
    <w:rsid w:val="004278C6"/>
    <w:rsid w:val="00427C69"/>
    <w:rsid w:val="00431781"/>
    <w:rsid w:val="004335B5"/>
    <w:rsid w:val="00433AAB"/>
    <w:rsid w:val="00435EDB"/>
    <w:rsid w:val="00441E9C"/>
    <w:rsid w:val="00450ACD"/>
    <w:rsid w:val="00451B41"/>
    <w:rsid w:val="004550C8"/>
    <w:rsid w:val="00456841"/>
    <w:rsid w:val="00456EE8"/>
    <w:rsid w:val="0046484A"/>
    <w:rsid w:val="00470A66"/>
    <w:rsid w:val="00481AD8"/>
    <w:rsid w:val="00481D62"/>
    <w:rsid w:val="004836F1"/>
    <w:rsid w:val="00483E79"/>
    <w:rsid w:val="00485332"/>
    <w:rsid w:val="0049029D"/>
    <w:rsid w:val="00492C7C"/>
    <w:rsid w:val="004930B8"/>
    <w:rsid w:val="004954B6"/>
    <w:rsid w:val="00497D61"/>
    <w:rsid w:val="004B2F60"/>
    <w:rsid w:val="004B6A71"/>
    <w:rsid w:val="004D020D"/>
    <w:rsid w:val="004D134B"/>
    <w:rsid w:val="004D344A"/>
    <w:rsid w:val="004E0469"/>
    <w:rsid w:val="004E25B9"/>
    <w:rsid w:val="004E3510"/>
    <w:rsid w:val="004E662E"/>
    <w:rsid w:val="004F59D0"/>
    <w:rsid w:val="00502429"/>
    <w:rsid w:val="00503328"/>
    <w:rsid w:val="00503C78"/>
    <w:rsid w:val="00504AA6"/>
    <w:rsid w:val="005105D5"/>
    <w:rsid w:val="0051446F"/>
    <w:rsid w:val="00523618"/>
    <w:rsid w:val="00533D2C"/>
    <w:rsid w:val="00537805"/>
    <w:rsid w:val="00541E73"/>
    <w:rsid w:val="00551DB9"/>
    <w:rsid w:val="00554652"/>
    <w:rsid w:val="005655EA"/>
    <w:rsid w:val="005667C9"/>
    <w:rsid w:val="00570B31"/>
    <w:rsid w:val="00572ACC"/>
    <w:rsid w:val="00572AF6"/>
    <w:rsid w:val="00575505"/>
    <w:rsid w:val="00580C51"/>
    <w:rsid w:val="00580CE0"/>
    <w:rsid w:val="005848D9"/>
    <w:rsid w:val="00596ED7"/>
    <w:rsid w:val="00597A41"/>
    <w:rsid w:val="00597DF7"/>
    <w:rsid w:val="005A6618"/>
    <w:rsid w:val="005A6657"/>
    <w:rsid w:val="005A7C44"/>
    <w:rsid w:val="005B2C4E"/>
    <w:rsid w:val="005C2A8D"/>
    <w:rsid w:val="005C2EEA"/>
    <w:rsid w:val="005C3538"/>
    <w:rsid w:val="005C38E0"/>
    <w:rsid w:val="005C5915"/>
    <w:rsid w:val="005C765A"/>
    <w:rsid w:val="005C781A"/>
    <w:rsid w:val="005D3E9C"/>
    <w:rsid w:val="005D51CA"/>
    <w:rsid w:val="005E5F2E"/>
    <w:rsid w:val="005E74D7"/>
    <w:rsid w:val="005F3C9F"/>
    <w:rsid w:val="0060210F"/>
    <w:rsid w:val="00602361"/>
    <w:rsid w:val="00606D23"/>
    <w:rsid w:val="006100F6"/>
    <w:rsid w:val="00610428"/>
    <w:rsid w:val="0061464F"/>
    <w:rsid w:val="00617698"/>
    <w:rsid w:val="006214B7"/>
    <w:rsid w:val="0062378A"/>
    <w:rsid w:val="006253BE"/>
    <w:rsid w:val="0063452A"/>
    <w:rsid w:val="00635E97"/>
    <w:rsid w:val="006363DD"/>
    <w:rsid w:val="00636877"/>
    <w:rsid w:val="00640303"/>
    <w:rsid w:val="00640B13"/>
    <w:rsid w:val="006538C1"/>
    <w:rsid w:val="00656D8A"/>
    <w:rsid w:val="00661058"/>
    <w:rsid w:val="0066481E"/>
    <w:rsid w:val="0066625E"/>
    <w:rsid w:val="00666F82"/>
    <w:rsid w:val="0067155C"/>
    <w:rsid w:val="00672D6E"/>
    <w:rsid w:val="00673491"/>
    <w:rsid w:val="006803A4"/>
    <w:rsid w:val="006859AF"/>
    <w:rsid w:val="0069116E"/>
    <w:rsid w:val="006917B6"/>
    <w:rsid w:val="00691E7F"/>
    <w:rsid w:val="006935E5"/>
    <w:rsid w:val="00695A4D"/>
    <w:rsid w:val="00696868"/>
    <w:rsid w:val="006A3B0D"/>
    <w:rsid w:val="006A539C"/>
    <w:rsid w:val="006A716F"/>
    <w:rsid w:val="006B34BF"/>
    <w:rsid w:val="006B5ED9"/>
    <w:rsid w:val="006B6DBD"/>
    <w:rsid w:val="006B7AC1"/>
    <w:rsid w:val="006C5135"/>
    <w:rsid w:val="006C6E54"/>
    <w:rsid w:val="006D2CFD"/>
    <w:rsid w:val="006D7CCD"/>
    <w:rsid w:val="006E07CA"/>
    <w:rsid w:val="006E3005"/>
    <w:rsid w:val="006E7631"/>
    <w:rsid w:val="006F05AD"/>
    <w:rsid w:val="006F1C42"/>
    <w:rsid w:val="006F33F1"/>
    <w:rsid w:val="006F503E"/>
    <w:rsid w:val="00700A68"/>
    <w:rsid w:val="0071141E"/>
    <w:rsid w:val="007119A2"/>
    <w:rsid w:val="00712D09"/>
    <w:rsid w:val="007155E2"/>
    <w:rsid w:val="007174EB"/>
    <w:rsid w:val="00722519"/>
    <w:rsid w:val="0072595C"/>
    <w:rsid w:val="00732D0D"/>
    <w:rsid w:val="00737049"/>
    <w:rsid w:val="00737516"/>
    <w:rsid w:val="00737E00"/>
    <w:rsid w:val="0074087B"/>
    <w:rsid w:val="00740AD7"/>
    <w:rsid w:val="00747758"/>
    <w:rsid w:val="007504B3"/>
    <w:rsid w:val="007544B8"/>
    <w:rsid w:val="0075529C"/>
    <w:rsid w:val="0075569E"/>
    <w:rsid w:val="00757DD0"/>
    <w:rsid w:val="007612C2"/>
    <w:rsid w:val="0076190C"/>
    <w:rsid w:val="00764D23"/>
    <w:rsid w:val="00766496"/>
    <w:rsid w:val="00767AA6"/>
    <w:rsid w:val="00773902"/>
    <w:rsid w:val="00773E98"/>
    <w:rsid w:val="00783C88"/>
    <w:rsid w:val="0078488E"/>
    <w:rsid w:val="00791A19"/>
    <w:rsid w:val="007950E3"/>
    <w:rsid w:val="007970DE"/>
    <w:rsid w:val="007A0390"/>
    <w:rsid w:val="007A7243"/>
    <w:rsid w:val="007A7C76"/>
    <w:rsid w:val="007B0B15"/>
    <w:rsid w:val="007B42CB"/>
    <w:rsid w:val="007B5261"/>
    <w:rsid w:val="007B5D18"/>
    <w:rsid w:val="007B6B4E"/>
    <w:rsid w:val="007B6FE1"/>
    <w:rsid w:val="007C03B0"/>
    <w:rsid w:val="007C38E5"/>
    <w:rsid w:val="007C4929"/>
    <w:rsid w:val="007D081A"/>
    <w:rsid w:val="007D1A58"/>
    <w:rsid w:val="007D34BA"/>
    <w:rsid w:val="007D3CF1"/>
    <w:rsid w:val="007F0EE2"/>
    <w:rsid w:val="007F2124"/>
    <w:rsid w:val="007F4DF1"/>
    <w:rsid w:val="007F6E41"/>
    <w:rsid w:val="00800F3F"/>
    <w:rsid w:val="00802485"/>
    <w:rsid w:val="00804EC5"/>
    <w:rsid w:val="00806DB0"/>
    <w:rsid w:val="0080765B"/>
    <w:rsid w:val="00812FF1"/>
    <w:rsid w:val="008140C0"/>
    <w:rsid w:val="00821AE5"/>
    <w:rsid w:val="00822DF1"/>
    <w:rsid w:val="0083184D"/>
    <w:rsid w:val="00833601"/>
    <w:rsid w:val="008502FC"/>
    <w:rsid w:val="00853905"/>
    <w:rsid w:val="0085455C"/>
    <w:rsid w:val="0085618A"/>
    <w:rsid w:val="008576A3"/>
    <w:rsid w:val="008641D0"/>
    <w:rsid w:val="008648E9"/>
    <w:rsid w:val="0086502C"/>
    <w:rsid w:val="00865DB9"/>
    <w:rsid w:val="00867396"/>
    <w:rsid w:val="008705E8"/>
    <w:rsid w:val="008744AF"/>
    <w:rsid w:val="008748D9"/>
    <w:rsid w:val="00874F11"/>
    <w:rsid w:val="00876428"/>
    <w:rsid w:val="00877A65"/>
    <w:rsid w:val="00880786"/>
    <w:rsid w:val="00884B3F"/>
    <w:rsid w:val="00892BCE"/>
    <w:rsid w:val="008A1975"/>
    <w:rsid w:val="008A59F2"/>
    <w:rsid w:val="008B2A05"/>
    <w:rsid w:val="008B3706"/>
    <w:rsid w:val="008B4ED0"/>
    <w:rsid w:val="008B75A3"/>
    <w:rsid w:val="008C0C3C"/>
    <w:rsid w:val="008C0DD0"/>
    <w:rsid w:val="008C44F3"/>
    <w:rsid w:val="008C5AD5"/>
    <w:rsid w:val="008D3832"/>
    <w:rsid w:val="008D49CB"/>
    <w:rsid w:val="008D59D0"/>
    <w:rsid w:val="008D7D0D"/>
    <w:rsid w:val="008E0976"/>
    <w:rsid w:val="008E0AD1"/>
    <w:rsid w:val="008E22DD"/>
    <w:rsid w:val="008E2BAF"/>
    <w:rsid w:val="008E373B"/>
    <w:rsid w:val="008E5F7C"/>
    <w:rsid w:val="008E66D6"/>
    <w:rsid w:val="008E7FA7"/>
    <w:rsid w:val="008F3609"/>
    <w:rsid w:val="009003EE"/>
    <w:rsid w:val="0090282B"/>
    <w:rsid w:val="00903447"/>
    <w:rsid w:val="009038E4"/>
    <w:rsid w:val="00907DC2"/>
    <w:rsid w:val="009107FF"/>
    <w:rsid w:val="0091111C"/>
    <w:rsid w:val="00917F16"/>
    <w:rsid w:val="0092130C"/>
    <w:rsid w:val="0092498E"/>
    <w:rsid w:val="00930E0B"/>
    <w:rsid w:val="0094089C"/>
    <w:rsid w:val="0095447A"/>
    <w:rsid w:val="00956090"/>
    <w:rsid w:val="00956653"/>
    <w:rsid w:val="00957987"/>
    <w:rsid w:val="00961EA9"/>
    <w:rsid w:val="0096275B"/>
    <w:rsid w:val="009629AB"/>
    <w:rsid w:val="009632D3"/>
    <w:rsid w:val="00967B55"/>
    <w:rsid w:val="00976CC4"/>
    <w:rsid w:val="00980161"/>
    <w:rsid w:val="00982758"/>
    <w:rsid w:val="00985F19"/>
    <w:rsid w:val="009862E4"/>
    <w:rsid w:val="00990755"/>
    <w:rsid w:val="009912D8"/>
    <w:rsid w:val="00992A66"/>
    <w:rsid w:val="00997CC2"/>
    <w:rsid w:val="009B18E3"/>
    <w:rsid w:val="009B4047"/>
    <w:rsid w:val="009B6066"/>
    <w:rsid w:val="009B6AC0"/>
    <w:rsid w:val="009B7F8C"/>
    <w:rsid w:val="009C61C0"/>
    <w:rsid w:val="009C75B9"/>
    <w:rsid w:val="009C767C"/>
    <w:rsid w:val="009D245A"/>
    <w:rsid w:val="009D25E9"/>
    <w:rsid w:val="009D5FED"/>
    <w:rsid w:val="009E28C9"/>
    <w:rsid w:val="009E3777"/>
    <w:rsid w:val="009E73CA"/>
    <w:rsid w:val="009F2D4A"/>
    <w:rsid w:val="009F66BD"/>
    <w:rsid w:val="00A00D26"/>
    <w:rsid w:val="00A01F79"/>
    <w:rsid w:val="00A10657"/>
    <w:rsid w:val="00A111C0"/>
    <w:rsid w:val="00A139F3"/>
    <w:rsid w:val="00A23221"/>
    <w:rsid w:val="00A25969"/>
    <w:rsid w:val="00A26EA3"/>
    <w:rsid w:val="00A37768"/>
    <w:rsid w:val="00A40E35"/>
    <w:rsid w:val="00A40FD5"/>
    <w:rsid w:val="00A423BB"/>
    <w:rsid w:val="00A449F6"/>
    <w:rsid w:val="00A45E03"/>
    <w:rsid w:val="00A47118"/>
    <w:rsid w:val="00A47CA3"/>
    <w:rsid w:val="00A508F5"/>
    <w:rsid w:val="00A509C2"/>
    <w:rsid w:val="00A51862"/>
    <w:rsid w:val="00A52272"/>
    <w:rsid w:val="00A5707A"/>
    <w:rsid w:val="00A75D13"/>
    <w:rsid w:val="00A764A0"/>
    <w:rsid w:val="00A868DA"/>
    <w:rsid w:val="00A91663"/>
    <w:rsid w:val="00A9644E"/>
    <w:rsid w:val="00AB0803"/>
    <w:rsid w:val="00AB30AC"/>
    <w:rsid w:val="00AB58B9"/>
    <w:rsid w:val="00AC178B"/>
    <w:rsid w:val="00AC233F"/>
    <w:rsid w:val="00AC50ED"/>
    <w:rsid w:val="00AC57E0"/>
    <w:rsid w:val="00AD0435"/>
    <w:rsid w:val="00AD72F7"/>
    <w:rsid w:val="00AE31C2"/>
    <w:rsid w:val="00B011D0"/>
    <w:rsid w:val="00B01678"/>
    <w:rsid w:val="00B03DB2"/>
    <w:rsid w:val="00B040F0"/>
    <w:rsid w:val="00B04AE3"/>
    <w:rsid w:val="00B052CC"/>
    <w:rsid w:val="00B07435"/>
    <w:rsid w:val="00B10A7A"/>
    <w:rsid w:val="00B10D50"/>
    <w:rsid w:val="00B115CD"/>
    <w:rsid w:val="00B13AC6"/>
    <w:rsid w:val="00B17024"/>
    <w:rsid w:val="00B30735"/>
    <w:rsid w:val="00B3140E"/>
    <w:rsid w:val="00B331EC"/>
    <w:rsid w:val="00B35ABF"/>
    <w:rsid w:val="00B42BDB"/>
    <w:rsid w:val="00B46DA5"/>
    <w:rsid w:val="00B46F21"/>
    <w:rsid w:val="00B47854"/>
    <w:rsid w:val="00B47A98"/>
    <w:rsid w:val="00B52088"/>
    <w:rsid w:val="00B53F27"/>
    <w:rsid w:val="00B67A82"/>
    <w:rsid w:val="00B7037A"/>
    <w:rsid w:val="00B703FB"/>
    <w:rsid w:val="00B75188"/>
    <w:rsid w:val="00B82047"/>
    <w:rsid w:val="00B862BC"/>
    <w:rsid w:val="00B93488"/>
    <w:rsid w:val="00B93816"/>
    <w:rsid w:val="00BA0FB9"/>
    <w:rsid w:val="00BA1B45"/>
    <w:rsid w:val="00BA7BDD"/>
    <w:rsid w:val="00BB24DC"/>
    <w:rsid w:val="00BC7C39"/>
    <w:rsid w:val="00BD1F45"/>
    <w:rsid w:val="00BD2F78"/>
    <w:rsid w:val="00BD5BB8"/>
    <w:rsid w:val="00BE201D"/>
    <w:rsid w:val="00BF4113"/>
    <w:rsid w:val="00BF7DD5"/>
    <w:rsid w:val="00C01211"/>
    <w:rsid w:val="00C02333"/>
    <w:rsid w:val="00C04CB7"/>
    <w:rsid w:val="00C061EE"/>
    <w:rsid w:val="00C06BD8"/>
    <w:rsid w:val="00C132E1"/>
    <w:rsid w:val="00C17256"/>
    <w:rsid w:val="00C21ACA"/>
    <w:rsid w:val="00C263BC"/>
    <w:rsid w:val="00C26B22"/>
    <w:rsid w:val="00C275CA"/>
    <w:rsid w:val="00C32B27"/>
    <w:rsid w:val="00C371E1"/>
    <w:rsid w:val="00C37716"/>
    <w:rsid w:val="00C401E9"/>
    <w:rsid w:val="00C4126B"/>
    <w:rsid w:val="00C412DA"/>
    <w:rsid w:val="00C42BE5"/>
    <w:rsid w:val="00C5082D"/>
    <w:rsid w:val="00C52837"/>
    <w:rsid w:val="00C5652B"/>
    <w:rsid w:val="00C56958"/>
    <w:rsid w:val="00C64434"/>
    <w:rsid w:val="00C64C75"/>
    <w:rsid w:val="00C7059E"/>
    <w:rsid w:val="00C80B8D"/>
    <w:rsid w:val="00C80F5A"/>
    <w:rsid w:val="00C818D6"/>
    <w:rsid w:val="00C849B5"/>
    <w:rsid w:val="00C86D9F"/>
    <w:rsid w:val="00C873F5"/>
    <w:rsid w:val="00C910F7"/>
    <w:rsid w:val="00C914D8"/>
    <w:rsid w:val="00CA0EF8"/>
    <w:rsid w:val="00CA1845"/>
    <w:rsid w:val="00CA328A"/>
    <w:rsid w:val="00CB4A86"/>
    <w:rsid w:val="00CB4F5C"/>
    <w:rsid w:val="00CB5468"/>
    <w:rsid w:val="00CB6C96"/>
    <w:rsid w:val="00CC026D"/>
    <w:rsid w:val="00CC4D76"/>
    <w:rsid w:val="00CC5E20"/>
    <w:rsid w:val="00CC70E3"/>
    <w:rsid w:val="00CD1424"/>
    <w:rsid w:val="00CD2096"/>
    <w:rsid w:val="00CD32C9"/>
    <w:rsid w:val="00CE1392"/>
    <w:rsid w:val="00CF372A"/>
    <w:rsid w:val="00CF669E"/>
    <w:rsid w:val="00CF6B96"/>
    <w:rsid w:val="00D01AD7"/>
    <w:rsid w:val="00D065BC"/>
    <w:rsid w:val="00D15942"/>
    <w:rsid w:val="00D16A4D"/>
    <w:rsid w:val="00D20DBC"/>
    <w:rsid w:val="00D30FEA"/>
    <w:rsid w:val="00D405E3"/>
    <w:rsid w:val="00D46F18"/>
    <w:rsid w:val="00D46FA2"/>
    <w:rsid w:val="00D477C3"/>
    <w:rsid w:val="00D47891"/>
    <w:rsid w:val="00D52BD8"/>
    <w:rsid w:val="00D54805"/>
    <w:rsid w:val="00D56641"/>
    <w:rsid w:val="00D57A28"/>
    <w:rsid w:val="00D57C67"/>
    <w:rsid w:val="00D622C3"/>
    <w:rsid w:val="00D67DF8"/>
    <w:rsid w:val="00D700B2"/>
    <w:rsid w:val="00D72BDC"/>
    <w:rsid w:val="00D82196"/>
    <w:rsid w:val="00D840E3"/>
    <w:rsid w:val="00D86837"/>
    <w:rsid w:val="00D90D16"/>
    <w:rsid w:val="00D91C70"/>
    <w:rsid w:val="00D9229C"/>
    <w:rsid w:val="00D97034"/>
    <w:rsid w:val="00D9795D"/>
    <w:rsid w:val="00DA0099"/>
    <w:rsid w:val="00DA12CB"/>
    <w:rsid w:val="00DA6C0E"/>
    <w:rsid w:val="00DA6FE3"/>
    <w:rsid w:val="00DB0A1B"/>
    <w:rsid w:val="00DB536A"/>
    <w:rsid w:val="00DB5F38"/>
    <w:rsid w:val="00DC1046"/>
    <w:rsid w:val="00DC46AC"/>
    <w:rsid w:val="00DD4260"/>
    <w:rsid w:val="00DD4626"/>
    <w:rsid w:val="00DE26BE"/>
    <w:rsid w:val="00DE3A95"/>
    <w:rsid w:val="00DE460F"/>
    <w:rsid w:val="00DE635F"/>
    <w:rsid w:val="00DE66E2"/>
    <w:rsid w:val="00DE6915"/>
    <w:rsid w:val="00DE6B08"/>
    <w:rsid w:val="00DE6C38"/>
    <w:rsid w:val="00DE7D33"/>
    <w:rsid w:val="00DF2A37"/>
    <w:rsid w:val="00DF2FA5"/>
    <w:rsid w:val="00DF370D"/>
    <w:rsid w:val="00DF503E"/>
    <w:rsid w:val="00E0226D"/>
    <w:rsid w:val="00E07B0C"/>
    <w:rsid w:val="00E162DE"/>
    <w:rsid w:val="00E16FF5"/>
    <w:rsid w:val="00E23B57"/>
    <w:rsid w:val="00E252F5"/>
    <w:rsid w:val="00E25658"/>
    <w:rsid w:val="00E259E4"/>
    <w:rsid w:val="00E26F32"/>
    <w:rsid w:val="00E30E69"/>
    <w:rsid w:val="00E31D44"/>
    <w:rsid w:val="00E3255E"/>
    <w:rsid w:val="00E371CF"/>
    <w:rsid w:val="00E43FA7"/>
    <w:rsid w:val="00E45B47"/>
    <w:rsid w:val="00E47C92"/>
    <w:rsid w:val="00E53A90"/>
    <w:rsid w:val="00E5588B"/>
    <w:rsid w:val="00E562DE"/>
    <w:rsid w:val="00E57B97"/>
    <w:rsid w:val="00E61B01"/>
    <w:rsid w:val="00E64813"/>
    <w:rsid w:val="00E64F2C"/>
    <w:rsid w:val="00E6736A"/>
    <w:rsid w:val="00E70273"/>
    <w:rsid w:val="00E7549C"/>
    <w:rsid w:val="00E777A2"/>
    <w:rsid w:val="00E8189F"/>
    <w:rsid w:val="00E81ABF"/>
    <w:rsid w:val="00E82A68"/>
    <w:rsid w:val="00E83563"/>
    <w:rsid w:val="00E87A68"/>
    <w:rsid w:val="00E9217D"/>
    <w:rsid w:val="00E961C6"/>
    <w:rsid w:val="00EA23E8"/>
    <w:rsid w:val="00EA29F3"/>
    <w:rsid w:val="00EA3845"/>
    <w:rsid w:val="00EA4B6E"/>
    <w:rsid w:val="00EA74C6"/>
    <w:rsid w:val="00EB2810"/>
    <w:rsid w:val="00EB4BE7"/>
    <w:rsid w:val="00EB6B40"/>
    <w:rsid w:val="00EC1B2D"/>
    <w:rsid w:val="00EC1BA0"/>
    <w:rsid w:val="00EC4A40"/>
    <w:rsid w:val="00EC4D30"/>
    <w:rsid w:val="00EC7DA0"/>
    <w:rsid w:val="00ED089D"/>
    <w:rsid w:val="00ED0A14"/>
    <w:rsid w:val="00EF0092"/>
    <w:rsid w:val="00EF02C4"/>
    <w:rsid w:val="00EF1236"/>
    <w:rsid w:val="00EF1291"/>
    <w:rsid w:val="00EF2CA5"/>
    <w:rsid w:val="00EF3D25"/>
    <w:rsid w:val="00EF4A08"/>
    <w:rsid w:val="00F00DCE"/>
    <w:rsid w:val="00F020CF"/>
    <w:rsid w:val="00F02817"/>
    <w:rsid w:val="00F03414"/>
    <w:rsid w:val="00F05C7E"/>
    <w:rsid w:val="00F06D77"/>
    <w:rsid w:val="00F11E50"/>
    <w:rsid w:val="00F14B2C"/>
    <w:rsid w:val="00F2176F"/>
    <w:rsid w:val="00F21B51"/>
    <w:rsid w:val="00F21BD5"/>
    <w:rsid w:val="00F26BD4"/>
    <w:rsid w:val="00F3136F"/>
    <w:rsid w:val="00F315C7"/>
    <w:rsid w:val="00F31C39"/>
    <w:rsid w:val="00F31E70"/>
    <w:rsid w:val="00F328E5"/>
    <w:rsid w:val="00F465C3"/>
    <w:rsid w:val="00F611FC"/>
    <w:rsid w:val="00F63824"/>
    <w:rsid w:val="00F65758"/>
    <w:rsid w:val="00F70F07"/>
    <w:rsid w:val="00F71749"/>
    <w:rsid w:val="00F77982"/>
    <w:rsid w:val="00F9275E"/>
    <w:rsid w:val="00F946D7"/>
    <w:rsid w:val="00FA2442"/>
    <w:rsid w:val="00FA3C86"/>
    <w:rsid w:val="00FA5D74"/>
    <w:rsid w:val="00FA7FB2"/>
    <w:rsid w:val="00FB486B"/>
    <w:rsid w:val="00FC3827"/>
    <w:rsid w:val="00FC679B"/>
    <w:rsid w:val="00FD1664"/>
    <w:rsid w:val="00FD175A"/>
    <w:rsid w:val="00FD1C48"/>
    <w:rsid w:val="00FE1576"/>
    <w:rsid w:val="00FE59D1"/>
    <w:rsid w:val="00FF4A38"/>
    <w:rsid w:val="00FF5C81"/>
    <w:rsid w:val="0114638B"/>
    <w:rsid w:val="019D414C"/>
    <w:rsid w:val="01E924AA"/>
    <w:rsid w:val="02145392"/>
    <w:rsid w:val="02582B70"/>
    <w:rsid w:val="02F97495"/>
    <w:rsid w:val="030356AA"/>
    <w:rsid w:val="033D1CBA"/>
    <w:rsid w:val="034C7B8B"/>
    <w:rsid w:val="03BE5A15"/>
    <w:rsid w:val="047E40F0"/>
    <w:rsid w:val="04A65363"/>
    <w:rsid w:val="05371385"/>
    <w:rsid w:val="05441D29"/>
    <w:rsid w:val="05550C8D"/>
    <w:rsid w:val="05786BBF"/>
    <w:rsid w:val="05D92834"/>
    <w:rsid w:val="064639B7"/>
    <w:rsid w:val="06DC65C3"/>
    <w:rsid w:val="07235E8D"/>
    <w:rsid w:val="072527AA"/>
    <w:rsid w:val="07870073"/>
    <w:rsid w:val="07D53711"/>
    <w:rsid w:val="07D84DA0"/>
    <w:rsid w:val="07F9605E"/>
    <w:rsid w:val="07FD0B72"/>
    <w:rsid w:val="08274B9A"/>
    <w:rsid w:val="08386296"/>
    <w:rsid w:val="085D449F"/>
    <w:rsid w:val="08C2226F"/>
    <w:rsid w:val="09283718"/>
    <w:rsid w:val="094901DB"/>
    <w:rsid w:val="0A297A66"/>
    <w:rsid w:val="0A8C53BB"/>
    <w:rsid w:val="0ABB4007"/>
    <w:rsid w:val="0B3E0A09"/>
    <w:rsid w:val="0BD82239"/>
    <w:rsid w:val="0C1F14ED"/>
    <w:rsid w:val="0C5D4855"/>
    <w:rsid w:val="0CAE041D"/>
    <w:rsid w:val="0CFC2ABA"/>
    <w:rsid w:val="0D6065A3"/>
    <w:rsid w:val="0D76510F"/>
    <w:rsid w:val="0F370C5C"/>
    <w:rsid w:val="0F8E75DC"/>
    <w:rsid w:val="101A3AAA"/>
    <w:rsid w:val="10D33F01"/>
    <w:rsid w:val="10FB1048"/>
    <w:rsid w:val="1137661A"/>
    <w:rsid w:val="11C761A1"/>
    <w:rsid w:val="12F51F49"/>
    <w:rsid w:val="138164EE"/>
    <w:rsid w:val="13B766C7"/>
    <w:rsid w:val="141574AC"/>
    <w:rsid w:val="14225FDE"/>
    <w:rsid w:val="146A6095"/>
    <w:rsid w:val="14C21D9E"/>
    <w:rsid w:val="15CC30FE"/>
    <w:rsid w:val="163C5506"/>
    <w:rsid w:val="16C44DD7"/>
    <w:rsid w:val="16E048F2"/>
    <w:rsid w:val="17151C1C"/>
    <w:rsid w:val="1742555F"/>
    <w:rsid w:val="177C3B34"/>
    <w:rsid w:val="17CE4C25"/>
    <w:rsid w:val="193C0C66"/>
    <w:rsid w:val="19697577"/>
    <w:rsid w:val="1A14507B"/>
    <w:rsid w:val="1A7E154B"/>
    <w:rsid w:val="1A896254"/>
    <w:rsid w:val="1AC03128"/>
    <w:rsid w:val="1BCA24B4"/>
    <w:rsid w:val="1BD7671F"/>
    <w:rsid w:val="1C943DBB"/>
    <w:rsid w:val="1CEF5E96"/>
    <w:rsid w:val="1D1237AB"/>
    <w:rsid w:val="1D861A7A"/>
    <w:rsid w:val="1DD60F22"/>
    <w:rsid w:val="1E806620"/>
    <w:rsid w:val="1E912F65"/>
    <w:rsid w:val="1F1D0B19"/>
    <w:rsid w:val="1F4F3DD6"/>
    <w:rsid w:val="1F834C29"/>
    <w:rsid w:val="1FC0172C"/>
    <w:rsid w:val="1FCD17A2"/>
    <w:rsid w:val="1FD71696"/>
    <w:rsid w:val="20112D38"/>
    <w:rsid w:val="20B15CF1"/>
    <w:rsid w:val="211200FA"/>
    <w:rsid w:val="21CB59C7"/>
    <w:rsid w:val="21E36269"/>
    <w:rsid w:val="21FE4E82"/>
    <w:rsid w:val="23294260"/>
    <w:rsid w:val="235145F3"/>
    <w:rsid w:val="252E4027"/>
    <w:rsid w:val="26933373"/>
    <w:rsid w:val="27306D76"/>
    <w:rsid w:val="276435A7"/>
    <w:rsid w:val="280249D8"/>
    <w:rsid w:val="280434F2"/>
    <w:rsid w:val="2822593F"/>
    <w:rsid w:val="29227B67"/>
    <w:rsid w:val="2B415DE3"/>
    <w:rsid w:val="2C0A2C4B"/>
    <w:rsid w:val="2CEE79F5"/>
    <w:rsid w:val="2DFC5F77"/>
    <w:rsid w:val="2E1E4B15"/>
    <w:rsid w:val="2E207006"/>
    <w:rsid w:val="2F5311D8"/>
    <w:rsid w:val="2F6B25BA"/>
    <w:rsid w:val="2F893B9B"/>
    <w:rsid w:val="300072B8"/>
    <w:rsid w:val="304B51FC"/>
    <w:rsid w:val="31296E03"/>
    <w:rsid w:val="315955EE"/>
    <w:rsid w:val="31D90237"/>
    <w:rsid w:val="325467FA"/>
    <w:rsid w:val="32603F64"/>
    <w:rsid w:val="3270026E"/>
    <w:rsid w:val="328F0282"/>
    <w:rsid w:val="32FC1C4F"/>
    <w:rsid w:val="339F5DF4"/>
    <w:rsid w:val="342C2278"/>
    <w:rsid w:val="34792F84"/>
    <w:rsid w:val="35222834"/>
    <w:rsid w:val="35452767"/>
    <w:rsid w:val="3708628D"/>
    <w:rsid w:val="379D45D1"/>
    <w:rsid w:val="384C6DE5"/>
    <w:rsid w:val="38B224BC"/>
    <w:rsid w:val="38E53DC4"/>
    <w:rsid w:val="38FF6D7B"/>
    <w:rsid w:val="39245D46"/>
    <w:rsid w:val="397F68FC"/>
    <w:rsid w:val="3A157ADC"/>
    <w:rsid w:val="3A3B752B"/>
    <w:rsid w:val="3A8F3FFF"/>
    <w:rsid w:val="3AD75AD1"/>
    <w:rsid w:val="3B753942"/>
    <w:rsid w:val="3B953586"/>
    <w:rsid w:val="3BB60565"/>
    <w:rsid w:val="3C3D7B0A"/>
    <w:rsid w:val="3C6E152F"/>
    <w:rsid w:val="3CFE656B"/>
    <w:rsid w:val="3D163BDB"/>
    <w:rsid w:val="3D486D63"/>
    <w:rsid w:val="3D7616B7"/>
    <w:rsid w:val="3E2E5117"/>
    <w:rsid w:val="3E9D1F11"/>
    <w:rsid w:val="40F64909"/>
    <w:rsid w:val="41EF5A8E"/>
    <w:rsid w:val="429537C6"/>
    <w:rsid w:val="4354035C"/>
    <w:rsid w:val="439313A8"/>
    <w:rsid w:val="445F452B"/>
    <w:rsid w:val="44D1417B"/>
    <w:rsid w:val="45476044"/>
    <w:rsid w:val="458C6398"/>
    <w:rsid w:val="45C858F0"/>
    <w:rsid w:val="462B6A6F"/>
    <w:rsid w:val="46782ADB"/>
    <w:rsid w:val="46841CBE"/>
    <w:rsid w:val="47F61225"/>
    <w:rsid w:val="487161A1"/>
    <w:rsid w:val="49BA4B8B"/>
    <w:rsid w:val="49CE05E4"/>
    <w:rsid w:val="4B3F53E8"/>
    <w:rsid w:val="4B6E56C0"/>
    <w:rsid w:val="4BE068C0"/>
    <w:rsid w:val="4BEC4166"/>
    <w:rsid w:val="4C9B74C3"/>
    <w:rsid w:val="4CA46989"/>
    <w:rsid w:val="4CBD2F2A"/>
    <w:rsid w:val="4D9832C0"/>
    <w:rsid w:val="4F1509E8"/>
    <w:rsid w:val="50016DB7"/>
    <w:rsid w:val="517768C3"/>
    <w:rsid w:val="524C789F"/>
    <w:rsid w:val="53A616A5"/>
    <w:rsid w:val="53DC06A4"/>
    <w:rsid w:val="53E65C8F"/>
    <w:rsid w:val="53F20A83"/>
    <w:rsid w:val="53F71C0A"/>
    <w:rsid w:val="54CB6AA0"/>
    <w:rsid w:val="552D44C3"/>
    <w:rsid w:val="55595A19"/>
    <w:rsid w:val="55675E4F"/>
    <w:rsid w:val="557C7CE3"/>
    <w:rsid w:val="55C002D6"/>
    <w:rsid w:val="5611151F"/>
    <w:rsid w:val="568F7506"/>
    <w:rsid w:val="56B46736"/>
    <w:rsid w:val="57A95AE2"/>
    <w:rsid w:val="581942CF"/>
    <w:rsid w:val="582648BB"/>
    <w:rsid w:val="58567DC8"/>
    <w:rsid w:val="589F2344"/>
    <w:rsid w:val="598D2D47"/>
    <w:rsid w:val="599D06E0"/>
    <w:rsid w:val="5BAA1816"/>
    <w:rsid w:val="5BED5448"/>
    <w:rsid w:val="5C5373BD"/>
    <w:rsid w:val="5CB73A41"/>
    <w:rsid w:val="5E593A21"/>
    <w:rsid w:val="5E5F355F"/>
    <w:rsid w:val="5E93357E"/>
    <w:rsid w:val="5E9F06A3"/>
    <w:rsid w:val="5F073052"/>
    <w:rsid w:val="5F817543"/>
    <w:rsid w:val="5F9B145A"/>
    <w:rsid w:val="5F9E1995"/>
    <w:rsid w:val="5FB94160"/>
    <w:rsid w:val="60DD5D98"/>
    <w:rsid w:val="60ED2287"/>
    <w:rsid w:val="6191748A"/>
    <w:rsid w:val="61931485"/>
    <w:rsid w:val="61937619"/>
    <w:rsid w:val="61E97963"/>
    <w:rsid w:val="62053AB9"/>
    <w:rsid w:val="62736725"/>
    <w:rsid w:val="62D336F7"/>
    <w:rsid w:val="62E86AB3"/>
    <w:rsid w:val="630340A1"/>
    <w:rsid w:val="64464087"/>
    <w:rsid w:val="64885E83"/>
    <w:rsid w:val="64DF42BE"/>
    <w:rsid w:val="64FD0031"/>
    <w:rsid w:val="650643C8"/>
    <w:rsid w:val="653F607F"/>
    <w:rsid w:val="66781C14"/>
    <w:rsid w:val="66E51A12"/>
    <w:rsid w:val="67411F5A"/>
    <w:rsid w:val="67980579"/>
    <w:rsid w:val="67B72258"/>
    <w:rsid w:val="67F40AFA"/>
    <w:rsid w:val="67FD23EE"/>
    <w:rsid w:val="68925321"/>
    <w:rsid w:val="68BD57B8"/>
    <w:rsid w:val="6A040FD3"/>
    <w:rsid w:val="6AD65CB8"/>
    <w:rsid w:val="6BBD5190"/>
    <w:rsid w:val="6BCD5A1E"/>
    <w:rsid w:val="6C2356D8"/>
    <w:rsid w:val="6CA20DCB"/>
    <w:rsid w:val="6D55100A"/>
    <w:rsid w:val="6E071F02"/>
    <w:rsid w:val="6E3E43DB"/>
    <w:rsid w:val="6E7A6F0E"/>
    <w:rsid w:val="6F001862"/>
    <w:rsid w:val="6FFA2190"/>
    <w:rsid w:val="70C76EBF"/>
    <w:rsid w:val="71262DF7"/>
    <w:rsid w:val="714F04B6"/>
    <w:rsid w:val="7153050E"/>
    <w:rsid w:val="716A0D30"/>
    <w:rsid w:val="727C2272"/>
    <w:rsid w:val="74880C86"/>
    <w:rsid w:val="75463C8E"/>
    <w:rsid w:val="75571EF1"/>
    <w:rsid w:val="755B178A"/>
    <w:rsid w:val="75991EFC"/>
    <w:rsid w:val="75A46E36"/>
    <w:rsid w:val="75F208FE"/>
    <w:rsid w:val="76E469B8"/>
    <w:rsid w:val="77504961"/>
    <w:rsid w:val="77C13E2B"/>
    <w:rsid w:val="79134B21"/>
    <w:rsid w:val="79701E43"/>
    <w:rsid w:val="79CE40A6"/>
    <w:rsid w:val="79E27573"/>
    <w:rsid w:val="79E72952"/>
    <w:rsid w:val="7A27789A"/>
    <w:rsid w:val="7B3B45D9"/>
    <w:rsid w:val="7BCA74AF"/>
    <w:rsid w:val="7D162B63"/>
    <w:rsid w:val="7D927291"/>
    <w:rsid w:val="7DC1161A"/>
    <w:rsid w:val="7DC66045"/>
    <w:rsid w:val="7E1B6556"/>
    <w:rsid w:val="7E356681"/>
    <w:rsid w:val="7E404ABC"/>
    <w:rsid w:val="7E676781"/>
    <w:rsid w:val="7F3671BF"/>
    <w:rsid w:val="7F4C61EA"/>
    <w:rsid w:val="7F5B6A90"/>
    <w:rsid w:val="7F5C2CCE"/>
    <w:rsid w:val="7FD069A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99" w:semiHidden="0" w:name="index 8"/>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qFormat="1" w:unhideWhenUsed="0" w:uiPriority="99" w:semiHidden="0" w:name="endnote text"/>
    <w:lsdException w:uiPriority="99" w:name="table of authorities" w:locked="1"/>
    <w:lsdException w:uiPriority="99" w:name="macro" w:locked="1"/>
    <w:lsdException w:qFormat="1" w:unhideWhenUsed="0" w:uiPriority="99" w:semiHidden="0" w:name="toa heading"/>
    <w:lsdException w:qFormat="1" w:unhideWhenUsed="0" w:uiPriority="99" w:semiHidden="0" w:name="List"/>
    <w:lsdException w:qFormat="1" w:unhideWhenUsed="0" w:uiPriority="99" w:semiHidden="0" w:name="List Bullet"/>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qFormat="1" w:unhideWhenUsed="0" w:uiPriority="99" w:semiHidden="0" w:name="HTML Typewriter"/>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65"/>
    <w:qFormat/>
    <w:uiPriority w:val="99"/>
    <w:pPr>
      <w:keepNext/>
      <w:keepLines/>
      <w:widowControl w:val="0"/>
      <w:tabs>
        <w:tab w:val="left" w:pos="840"/>
      </w:tabs>
      <w:adjustRightInd w:val="0"/>
      <w:snapToGrid w:val="0"/>
      <w:spacing w:line="360" w:lineRule="auto"/>
      <w:jc w:val="both"/>
      <w:outlineLvl w:val="0"/>
    </w:pPr>
    <w:rPr>
      <w:rFonts w:ascii="宋体" w:hAnsi="宋体"/>
      <w:b/>
      <w:kern w:val="44"/>
      <w:sz w:val="24"/>
    </w:rPr>
  </w:style>
  <w:style w:type="paragraph" w:styleId="4">
    <w:name w:val="heading 2"/>
    <w:basedOn w:val="1"/>
    <w:next w:val="5"/>
    <w:link w:val="66"/>
    <w:qFormat/>
    <w:uiPriority w:val="99"/>
    <w:pPr>
      <w:keepNext/>
      <w:keepLines/>
      <w:adjustRightInd w:val="0"/>
      <w:snapToGrid w:val="0"/>
      <w:spacing w:beforeLines="50" w:afterLines="50" w:line="360" w:lineRule="exact"/>
      <w:jc w:val="center"/>
      <w:outlineLvl w:val="1"/>
    </w:pPr>
    <w:rPr>
      <w:rFonts w:ascii="宋体" w:hAnsi="Arial"/>
      <w:b/>
      <w:sz w:val="28"/>
      <w:szCs w:val="28"/>
    </w:rPr>
  </w:style>
  <w:style w:type="paragraph" w:styleId="6">
    <w:name w:val="heading 3"/>
    <w:basedOn w:val="1"/>
    <w:next w:val="1"/>
    <w:link w:val="67"/>
    <w:qFormat/>
    <w:uiPriority w:val="99"/>
    <w:pPr>
      <w:widowControl w:val="0"/>
      <w:tabs>
        <w:tab w:val="left" w:pos="851"/>
      </w:tabs>
      <w:autoSpaceDE w:val="0"/>
      <w:autoSpaceDN w:val="0"/>
      <w:adjustRightInd w:val="0"/>
      <w:snapToGrid w:val="0"/>
      <w:spacing w:line="360" w:lineRule="auto"/>
      <w:ind w:left="851" w:hanging="851"/>
      <w:jc w:val="both"/>
      <w:outlineLvl w:val="2"/>
    </w:pPr>
    <w:rPr>
      <w:rFonts w:ascii="宋体"/>
      <w:sz w:val="20"/>
    </w:rPr>
  </w:style>
  <w:style w:type="paragraph" w:styleId="7">
    <w:name w:val="heading 4"/>
    <w:basedOn w:val="1"/>
    <w:next w:val="5"/>
    <w:link w:val="68"/>
    <w:qFormat/>
    <w:uiPriority w:val="99"/>
    <w:pPr>
      <w:widowControl w:val="0"/>
      <w:tabs>
        <w:tab w:val="left" w:pos="864"/>
      </w:tabs>
      <w:autoSpaceDE w:val="0"/>
      <w:autoSpaceDN w:val="0"/>
      <w:adjustRightInd w:val="0"/>
      <w:snapToGrid w:val="0"/>
      <w:spacing w:line="360" w:lineRule="auto"/>
      <w:ind w:left="864" w:hanging="864"/>
      <w:jc w:val="both"/>
      <w:outlineLvl w:val="3"/>
    </w:pPr>
    <w:rPr>
      <w:rFonts w:ascii="宋体" w:hAnsi="Arial"/>
      <w:color w:val="000000"/>
    </w:rPr>
  </w:style>
  <w:style w:type="paragraph" w:styleId="8">
    <w:name w:val="heading 5"/>
    <w:basedOn w:val="1"/>
    <w:next w:val="5"/>
    <w:link w:val="69"/>
    <w:qFormat/>
    <w:uiPriority w:val="99"/>
    <w:pPr>
      <w:keepNext/>
      <w:widowControl w:val="0"/>
      <w:tabs>
        <w:tab w:val="left" w:pos="1008"/>
      </w:tabs>
      <w:autoSpaceDE w:val="0"/>
      <w:autoSpaceDN w:val="0"/>
      <w:adjustRightInd w:val="0"/>
      <w:snapToGrid w:val="0"/>
      <w:spacing w:before="280" w:after="290" w:line="372" w:lineRule="auto"/>
      <w:ind w:left="1008" w:hanging="1008"/>
      <w:jc w:val="both"/>
      <w:outlineLvl w:val="4"/>
    </w:pPr>
    <w:rPr>
      <w:rFonts w:ascii="宋体"/>
      <w:b/>
      <w:color w:val="000000"/>
      <w:sz w:val="28"/>
    </w:rPr>
  </w:style>
  <w:style w:type="paragraph" w:styleId="9">
    <w:name w:val="heading 6"/>
    <w:basedOn w:val="1"/>
    <w:next w:val="5"/>
    <w:link w:val="70"/>
    <w:qFormat/>
    <w:uiPriority w:val="99"/>
    <w:pPr>
      <w:keepNext/>
      <w:widowControl w:val="0"/>
      <w:tabs>
        <w:tab w:val="left" w:pos="1152"/>
      </w:tabs>
      <w:autoSpaceDE w:val="0"/>
      <w:autoSpaceDN w:val="0"/>
      <w:adjustRightInd w:val="0"/>
      <w:snapToGrid w:val="0"/>
      <w:spacing w:before="240" w:after="64" w:line="316" w:lineRule="auto"/>
      <w:ind w:left="1152" w:hanging="1152"/>
      <w:jc w:val="both"/>
      <w:outlineLvl w:val="5"/>
    </w:pPr>
    <w:rPr>
      <w:rFonts w:ascii="Arial" w:hAnsi="Arial" w:eastAsia="黑体"/>
      <w:b/>
      <w:color w:val="000000"/>
      <w:sz w:val="24"/>
    </w:rPr>
  </w:style>
  <w:style w:type="paragraph" w:styleId="10">
    <w:name w:val="heading 7"/>
    <w:basedOn w:val="1"/>
    <w:next w:val="5"/>
    <w:link w:val="71"/>
    <w:qFormat/>
    <w:uiPriority w:val="99"/>
    <w:pPr>
      <w:keepNext/>
      <w:widowControl w:val="0"/>
      <w:tabs>
        <w:tab w:val="left" w:pos="1296"/>
      </w:tabs>
      <w:autoSpaceDE w:val="0"/>
      <w:autoSpaceDN w:val="0"/>
      <w:adjustRightInd w:val="0"/>
      <w:snapToGrid w:val="0"/>
      <w:spacing w:before="240" w:after="64" w:line="316" w:lineRule="auto"/>
      <w:ind w:left="1296" w:hanging="1296"/>
      <w:jc w:val="both"/>
      <w:outlineLvl w:val="6"/>
    </w:pPr>
    <w:rPr>
      <w:rFonts w:ascii="宋体"/>
      <w:b/>
      <w:color w:val="000000"/>
      <w:sz w:val="24"/>
    </w:rPr>
  </w:style>
  <w:style w:type="paragraph" w:styleId="11">
    <w:name w:val="heading 8"/>
    <w:basedOn w:val="1"/>
    <w:next w:val="5"/>
    <w:link w:val="72"/>
    <w:qFormat/>
    <w:uiPriority w:val="99"/>
    <w:pPr>
      <w:keepNext/>
      <w:widowControl w:val="0"/>
      <w:tabs>
        <w:tab w:val="left" w:pos="1440"/>
      </w:tabs>
      <w:autoSpaceDE w:val="0"/>
      <w:autoSpaceDN w:val="0"/>
      <w:adjustRightInd w:val="0"/>
      <w:snapToGrid w:val="0"/>
      <w:spacing w:before="240" w:after="64" w:line="316" w:lineRule="auto"/>
      <w:ind w:left="1440" w:hanging="1440"/>
      <w:jc w:val="both"/>
      <w:outlineLvl w:val="7"/>
    </w:pPr>
    <w:rPr>
      <w:rFonts w:ascii="Arial" w:hAnsi="Arial" w:eastAsia="黑体"/>
      <w:color w:val="000000"/>
      <w:sz w:val="24"/>
    </w:rPr>
  </w:style>
  <w:style w:type="paragraph" w:styleId="12">
    <w:name w:val="heading 9"/>
    <w:basedOn w:val="1"/>
    <w:next w:val="5"/>
    <w:link w:val="73"/>
    <w:qFormat/>
    <w:uiPriority w:val="99"/>
    <w:pPr>
      <w:keepNext/>
      <w:widowControl w:val="0"/>
      <w:tabs>
        <w:tab w:val="left" w:pos="1584"/>
      </w:tabs>
      <w:autoSpaceDE w:val="0"/>
      <w:autoSpaceDN w:val="0"/>
      <w:adjustRightInd w:val="0"/>
      <w:snapToGrid w:val="0"/>
      <w:spacing w:before="240" w:after="64" w:line="316" w:lineRule="auto"/>
      <w:ind w:left="1584" w:hanging="1584"/>
      <w:jc w:val="both"/>
      <w:outlineLvl w:val="8"/>
    </w:pPr>
    <w:rPr>
      <w:rFonts w:ascii="Arial" w:hAnsi="Arial" w:eastAsia="黑体"/>
      <w:color w:val="000000"/>
    </w:rPr>
  </w:style>
  <w:style w:type="character" w:default="1" w:styleId="57">
    <w:name w:val="Default Paragraph Font"/>
    <w:unhideWhenUsed/>
    <w:qFormat/>
    <w:uiPriority w:val="1"/>
  </w:style>
  <w:style w:type="table" w:default="1" w:styleId="5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74"/>
    <w:qFormat/>
    <w:uiPriority w:val="99"/>
    <w:pPr>
      <w:widowControl w:val="0"/>
      <w:jc w:val="both"/>
    </w:pPr>
    <w:rPr>
      <w:kern w:val="2"/>
      <w:sz w:val="28"/>
    </w:rPr>
  </w:style>
  <w:style w:type="paragraph" w:styleId="5">
    <w:name w:val="Normal Indent"/>
    <w:basedOn w:val="1"/>
    <w:link w:val="101"/>
    <w:qFormat/>
    <w:uiPriority w:val="99"/>
    <w:pPr>
      <w:ind w:left="720"/>
    </w:pPr>
    <w:rPr>
      <w:sz w:val="20"/>
    </w:rPr>
  </w:style>
  <w:style w:type="paragraph" w:styleId="13">
    <w:name w:val="toc 7"/>
    <w:basedOn w:val="1"/>
    <w:next w:val="1"/>
    <w:qFormat/>
    <w:uiPriority w:val="99"/>
    <w:pPr>
      <w:widowControl w:val="0"/>
      <w:ind w:left="2520"/>
      <w:jc w:val="both"/>
    </w:pPr>
    <w:rPr>
      <w:kern w:val="2"/>
    </w:rPr>
  </w:style>
  <w:style w:type="paragraph" w:styleId="14">
    <w:name w:val="index 8"/>
    <w:basedOn w:val="1"/>
    <w:next w:val="1"/>
    <w:qFormat/>
    <w:uiPriority w:val="99"/>
    <w:pPr>
      <w:widowControl w:val="0"/>
      <w:ind w:left="1400" w:leftChars="1400"/>
      <w:jc w:val="both"/>
    </w:pPr>
    <w:rPr>
      <w:kern w:val="2"/>
      <w:szCs w:val="24"/>
    </w:rPr>
  </w:style>
  <w:style w:type="paragraph" w:styleId="15">
    <w:name w:val="caption"/>
    <w:basedOn w:val="1"/>
    <w:next w:val="1"/>
    <w:qFormat/>
    <w:uiPriority w:val="99"/>
    <w:pPr>
      <w:widowControl w:val="0"/>
      <w:spacing w:before="152" w:after="160" w:line="360" w:lineRule="auto"/>
      <w:jc w:val="both"/>
    </w:pPr>
    <w:rPr>
      <w:rFonts w:ascii="Arial" w:hAnsi="Arial" w:eastAsia="黑体" w:cs="Arial"/>
      <w:kern w:val="2"/>
      <w:sz w:val="20"/>
    </w:rPr>
  </w:style>
  <w:style w:type="paragraph" w:styleId="16">
    <w:name w:val="List Bullet"/>
    <w:basedOn w:val="1"/>
    <w:qFormat/>
    <w:uiPriority w:val="99"/>
    <w:pPr>
      <w:keepNext/>
      <w:widowControl w:val="0"/>
      <w:spacing w:before="80" w:after="80"/>
      <w:jc w:val="both"/>
    </w:pPr>
    <w:rPr>
      <w:kern w:val="2"/>
      <w:sz w:val="18"/>
      <w:szCs w:val="18"/>
    </w:rPr>
  </w:style>
  <w:style w:type="paragraph" w:styleId="17">
    <w:name w:val="Document Map"/>
    <w:basedOn w:val="1"/>
    <w:link w:val="78"/>
    <w:qFormat/>
    <w:uiPriority w:val="99"/>
    <w:pPr>
      <w:shd w:val="clear" w:color="auto" w:fill="000080"/>
    </w:pPr>
  </w:style>
  <w:style w:type="paragraph" w:styleId="18">
    <w:name w:val="toa heading"/>
    <w:basedOn w:val="1"/>
    <w:next w:val="1"/>
    <w:qFormat/>
    <w:uiPriority w:val="99"/>
    <w:pPr>
      <w:widowControl w:val="0"/>
      <w:autoSpaceDE w:val="0"/>
      <w:autoSpaceDN w:val="0"/>
      <w:adjustRightInd w:val="0"/>
      <w:snapToGrid w:val="0"/>
      <w:spacing w:before="120" w:line="360" w:lineRule="auto"/>
      <w:jc w:val="both"/>
    </w:pPr>
    <w:rPr>
      <w:rFonts w:ascii="Arial" w:hAnsi="Arial"/>
      <w:color w:val="000000"/>
    </w:rPr>
  </w:style>
  <w:style w:type="paragraph" w:styleId="19">
    <w:name w:val="annotation text"/>
    <w:basedOn w:val="1"/>
    <w:link w:val="75"/>
    <w:qFormat/>
    <w:uiPriority w:val="99"/>
  </w:style>
  <w:style w:type="paragraph" w:styleId="20">
    <w:name w:val="Salutation"/>
    <w:basedOn w:val="1"/>
    <w:next w:val="1"/>
    <w:link w:val="79"/>
    <w:qFormat/>
    <w:uiPriority w:val="99"/>
    <w:pPr>
      <w:widowControl w:val="0"/>
      <w:jc w:val="both"/>
    </w:pPr>
    <w:rPr>
      <w:kern w:val="2"/>
      <w:szCs w:val="24"/>
    </w:rPr>
  </w:style>
  <w:style w:type="paragraph" w:styleId="21">
    <w:name w:val="Body Text 3"/>
    <w:basedOn w:val="1"/>
    <w:link w:val="80"/>
    <w:qFormat/>
    <w:uiPriority w:val="99"/>
    <w:pPr>
      <w:widowControl w:val="0"/>
      <w:spacing w:after="120" w:line="360" w:lineRule="auto"/>
      <w:jc w:val="both"/>
    </w:pPr>
    <w:rPr>
      <w:kern w:val="2"/>
      <w:sz w:val="16"/>
      <w:szCs w:val="16"/>
    </w:rPr>
  </w:style>
  <w:style w:type="paragraph" w:styleId="22">
    <w:name w:val="Body Text Indent"/>
    <w:basedOn w:val="1"/>
    <w:link w:val="81"/>
    <w:qFormat/>
    <w:uiPriority w:val="99"/>
    <w:pPr>
      <w:spacing w:after="120"/>
      <w:ind w:left="420" w:leftChars="200"/>
    </w:pPr>
  </w:style>
  <w:style w:type="paragraph" w:styleId="23">
    <w:name w:val="List 2"/>
    <w:basedOn w:val="1"/>
    <w:qFormat/>
    <w:uiPriority w:val="99"/>
    <w:pPr>
      <w:widowControl w:val="0"/>
      <w:numPr>
        <w:ilvl w:val="0"/>
        <w:numId w:val="1"/>
      </w:numPr>
      <w:adjustRightInd w:val="0"/>
      <w:ind w:hanging="315"/>
    </w:pPr>
    <w:rPr>
      <w:kern w:val="2"/>
    </w:rPr>
  </w:style>
  <w:style w:type="paragraph" w:styleId="24">
    <w:name w:val="Block Text"/>
    <w:basedOn w:val="1"/>
    <w:qFormat/>
    <w:uiPriority w:val="99"/>
    <w:pPr>
      <w:autoSpaceDE w:val="0"/>
      <w:autoSpaceDN w:val="0"/>
      <w:spacing w:line="360" w:lineRule="auto"/>
      <w:ind w:left="315" w:leftChars="150"/>
      <w:jc w:val="both"/>
    </w:pPr>
    <w:rPr>
      <w:kern w:val="2"/>
    </w:rPr>
  </w:style>
  <w:style w:type="paragraph" w:styleId="25">
    <w:name w:val="toc 5"/>
    <w:basedOn w:val="1"/>
    <w:next w:val="1"/>
    <w:qFormat/>
    <w:uiPriority w:val="99"/>
    <w:pPr>
      <w:widowControl w:val="0"/>
      <w:ind w:left="1680"/>
      <w:jc w:val="both"/>
    </w:pPr>
    <w:rPr>
      <w:kern w:val="2"/>
    </w:rPr>
  </w:style>
  <w:style w:type="paragraph" w:styleId="26">
    <w:name w:val="toc 3"/>
    <w:basedOn w:val="1"/>
    <w:next w:val="1"/>
    <w:qFormat/>
    <w:uiPriority w:val="99"/>
    <w:pPr>
      <w:widowControl w:val="0"/>
      <w:tabs>
        <w:tab w:val="right" w:leader="dot" w:pos="9499"/>
      </w:tabs>
      <w:spacing w:line="360" w:lineRule="auto"/>
      <w:ind w:left="323" w:hanging="108"/>
      <w:jc w:val="both"/>
    </w:pPr>
    <w:rPr>
      <w:kern w:val="2"/>
    </w:rPr>
  </w:style>
  <w:style w:type="paragraph" w:styleId="27">
    <w:name w:val="Plain Text"/>
    <w:basedOn w:val="1"/>
    <w:link w:val="82"/>
    <w:qFormat/>
    <w:uiPriority w:val="99"/>
    <w:pPr>
      <w:widowControl w:val="0"/>
      <w:jc w:val="both"/>
    </w:pPr>
    <w:rPr>
      <w:rFonts w:ascii="宋体" w:hAnsi="Courier New"/>
      <w:sz w:val="20"/>
    </w:rPr>
  </w:style>
  <w:style w:type="paragraph" w:styleId="28">
    <w:name w:val="toc 8"/>
    <w:basedOn w:val="1"/>
    <w:next w:val="1"/>
    <w:qFormat/>
    <w:uiPriority w:val="99"/>
    <w:pPr>
      <w:widowControl w:val="0"/>
      <w:ind w:left="2940"/>
      <w:jc w:val="both"/>
    </w:pPr>
    <w:rPr>
      <w:kern w:val="2"/>
    </w:rPr>
  </w:style>
  <w:style w:type="paragraph" w:styleId="29">
    <w:name w:val="Date"/>
    <w:basedOn w:val="1"/>
    <w:next w:val="1"/>
    <w:link w:val="83"/>
    <w:qFormat/>
    <w:uiPriority w:val="99"/>
    <w:pPr>
      <w:widowControl w:val="0"/>
      <w:jc w:val="both"/>
    </w:pPr>
    <w:rPr>
      <w:rFonts w:ascii="楷体_GB2312" w:eastAsia="楷体_GB2312"/>
      <w:kern w:val="2"/>
      <w:sz w:val="28"/>
    </w:rPr>
  </w:style>
  <w:style w:type="paragraph" w:styleId="30">
    <w:name w:val="Body Text Indent 2"/>
    <w:basedOn w:val="1"/>
    <w:link w:val="84"/>
    <w:qFormat/>
    <w:uiPriority w:val="99"/>
    <w:pPr>
      <w:widowControl w:val="0"/>
      <w:spacing w:line="360" w:lineRule="auto"/>
      <w:ind w:firstLine="420"/>
      <w:jc w:val="both"/>
    </w:pPr>
    <w:rPr>
      <w:kern w:val="2"/>
    </w:rPr>
  </w:style>
  <w:style w:type="paragraph" w:styleId="31">
    <w:name w:val="endnote text"/>
    <w:basedOn w:val="1"/>
    <w:link w:val="85"/>
    <w:qFormat/>
    <w:uiPriority w:val="99"/>
    <w:pPr>
      <w:widowControl w:val="0"/>
      <w:adjustRightInd w:val="0"/>
      <w:spacing w:line="315" w:lineRule="atLeast"/>
      <w:ind w:firstLine="425"/>
    </w:pPr>
    <w:rPr>
      <w:rFonts w:ascii="宋体"/>
      <w:sz w:val="24"/>
    </w:rPr>
  </w:style>
  <w:style w:type="paragraph" w:styleId="32">
    <w:name w:val="Balloon Text"/>
    <w:basedOn w:val="1"/>
    <w:link w:val="86"/>
    <w:qFormat/>
    <w:uiPriority w:val="99"/>
    <w:pPr>
      <w:widowControl w:val="0"/>
      <w:jc w:val="both"/>
    </w:pPr>
    <w:rPr>
      <w:kern w:val="2"/>
      <w:sz w:val="18"/>
      <w:szCs w:val="18"/>
    </w:rPr>
  </w:style>
  <w:style w:type="paragraph" w:styleId="33">
    <w:name w:val="footer"/>
    <w:basedOn w:val="1"/>
    <w:link w:val="103"/>
    <w:qFormat/>
    <w:uiPriority w:val="99"/>
    <w:pPr>
      <w:tabs>
        <w:tab w:val="center" w:pos="4153"/>
        <w:tab w:val="right" w:pos="8306"/>
      </w:tabs>
      <w:snapToGrid w:val="0"/>
    </w:pPr>
    <w:rPr>
      <w:sz w:val="18"/>
    </w:rPr>
  </w:style>
  <w:style w:type="paragraph" w:styleId="34">
    <w:name w:val="header"/>
    <w:basedOn w:val="1"/>
    <w:link w:val="575"/>
    <w:qFormat/>
    <w:uiPriority w:val="99"/>
    <w:pPr>
      <w:pBdr>
        <w:bottom w:val="single" w:color="auto" w:sz="6" w:space="1"/>
      </w:pBdr>
      <w:tabs>
        <w:tab w:val="center" w:pos="4153"/>
        <w:tab w:val="right" w:pos="8306"/>
      </w:tabs>
      <w:snapToGrid w:val="0"/>
      <w:jc w:val="center"/>
    </w:pPr>
    <w:rPr>
      <w:sz w:val="20"/>
    </w:rPr>
  </w:style>
  <w:style w:type="paragraph" w:styleId="35">
    <w:name w:val="Signature"/>
    <w:basedOn w:val="1"/>
    <w:link w:val="91"/>
    <w:qFormat/>
    <w:uiPriority w:val="99"/>
    <w:pPr>
      <w:widowControl w:val="0"/>
      <w:ind w:left="4320"/>
      <w:jc w:val="both"/>
    </w:pPr>
    <w:rPr>
      <w:rFonts w:eastAsia="楷体_GB2312"/>
      <w:kern w:val="2"/>
    </w:rPr>
  </w:style>
  <w:style w:type="paragraph" w:styleId="36">
    <w:name w:val="toc 1"/>
    <w:basedOn w:val="1"/>
    <w:next w:val="1"/>
    <w:qFormat/>
    <w:uiPriority w:val="99"/>
    <w:pPr>
      <w:tabs>
        <w:tab w:val="right" w:leader="dot" w:pos="9499"/>
      </w:tabs>
      <w:spacing w:line="360" w:lineRule="auto"/>
      <w:jc w:val="both"/>
    </w:pPr>
    <w:rPr>
      <w:rFonts w:ascii="宋体" w:hAnsi="Arial" w:cs="Arial"/>
      <w:b/>
      <w:bCs/>
      <w:szCs w:val="21"/>
    </w:rPr>
  </w:style>
  <w:style w:type="paragraph" w:styleId="37">
    <w:name w:val="toc 4"/>
    <w:basedOn w:val="1"/>
    <w:next w:val="1"/>
    <w:qFormat/>
    <w:uiPriority w:val="99"/>
    <w:pPr>
      <w:widowControl w:val="0"/>
      <w:ind w:left="1260"/>
      <w:jc w:val="both"/>
    </w:pPr>
    <w:rPr>
      <w:kern w:val="2"/>
    </w:rPr>
  </w:style>
  <w:style w:type="paragraph" w:styleId="38">
    <w:name w:val="index heading"/>
    <w:basedOn w:val="1"/>
    <w:next w:val="39"/>
    <w:qFormat/>
    <w:uiPriority w:val="99"/>
    <w:pPr>
      <w:widowControl w:val="0"/>
      <w:jc w:val="both"/>
    </w:pPr>
    <w:rPr>
      <w:kern w:val="2"/>
    </w:rPr>
  </w:style>
  <w:style w:type="paragraph" w:styleId="39">
    <w:name w:val="index 1"/>
    <w:basedOn w:val="1"/>
    <w:next w:val="1"/>
    <w:qFormat/>
    <w:uiPriority w:val="99"/>
    <w:pPr>
      <w:widowControl w:val="0"/>
      <w:jc w:val="center"/>
    </w:pPr>
    <w:rPr>
      <w:kern w:val="2"/>
      <w:szCs w:val="24"/>
    </w:rPr>
  </w:style>
  <w:style w:type="paragraph" w:styleId="40">
    <w:name w:val="Subtitle"/>
    <w:basedOn w:val="1"/>
    <w:next w:val="1"/>
    <w:link w:val="92"/>
    <w:qFormat/>
    <w:uiPriority w:val="99"/>
    <w:pPr>
      <w:widowControl w:val="0"/>
      <w:adjustRightInd w:val="0"/>
      <w:spacing w:before="760" w:after="280"/>
    </w:pPr>
    <w:rPr>
      <w:rFonts w:ascii="Arial" w:hAnsi="Arial" w:eastAsia="黑体"/>
      <w:spacing w:val="40"/>
      <w:sz w:val="30"/>
      <w:u w:val="single"/>
    </w:rPr>
  </w:style>
  <w:style w:type="paragraph" w:styleId="41">
    <w:name w:val="List"/>
    <w:basedOn w:val="1"/>
    <w:qFormat/>
    <w:uiPriority w:val="99"/>
    <w:pPr>
      <w:widowControl w:val="0"/>
      <w:adjustRightInd w:val="0"/>
      <w:spacing w:line="240" w:lineRule="atLeast"/>
      <w:ind w:left="200" w:hanging="200" w:hangingChars="200"/>
    </w:pPr>
    <w:rPr>
      <w:sz w:val="24"/>
      <w:szCs w:val="24"/>
    </w:rPr>
  </w:style>
  <w:style w:type="paragraph" w:styleId="42">
    <w:name w:val="footnote text"/>
    <w:basedOn w:val="1"/>
    <w:link w:val="93"/>
    <w:qFormat/>
    <w:uiPriority w:val="99"/>
    <w:pPr>
      <w:widowControl w:val="0"/>
      <w:snapToGrid w:val="0"/>
      <w:spacing w:line="360" w:lineRule="auto"/>
    </w:pPr>
    <w:rPr>
      <w:kern w:val="2"/>
      <w:sz w:val="18"/>
      <w:szCs w:val="18"/>
    </w:rPr>
  </w:style>
  <w:style w:type="paragraph" w:styleId="43">
    <w:name w:val="toc 6"/>
    <w:basedOn w:val="1"/>
    <w:next w:val="1"/>
    <w:qFormat/>
    <w:uiPriority w:val="99"/>
    <w:pPr>
      <w:widowControl w:val="0"/>
      <w:ind w:left="2100"/>
      <w:jc w:val="both"/>
    </w:pPr>
    <w:rPr>
      <w:kern w:val="2"/>
    </w:rPr>
  </w:style>
  <w:style w:type="paragraph" w:styleId="44">
    <w:name w:val="Body Text Indent 3"/>
    <w:basedOn w:val="1"/>
    <w:link w:val="94"/>
    <w:qFormat/>
    <w:uiPriority w:val="99"/>
    <w:pPr>
      <w:widowControl w:val="0"/>
      <w:spacing w:line="360" w:lineRule="auto"/>
      <w:ind w:left="420"/>
      <w:jc w:val="both"/>
    </w:pPr>
    <w:rPr>
      <w:kern w:val="2"/>
    </w:rPr>
  </w:style>
  <w:style w:type="paragraph" w:styleId="45">
    <w:name w:val="table of figures"/>
    <w:basedOn w:val="1"/>
    <w:next w:val="1"/>
    <w:qFormat/>
    <w:uiPriority w:val="99"/>
    <w:pPr>
      <w:ind w:left="200" w:leftChars="200" w:hanging="200" w:hangingChars="200"/>
    </w:pPr>
  </w:style>
  <w:style w:type="paragraph" w:styleId="46">
    <w:name w:val="toc 2"/>
    <w:basedOn w:val="1"/>
    <w:next w:val="1"/>
    <w:qFormat/>
    <w:uiPriority w:val="99"/>
    <w:pPr>
      <w:tabs>
        <w:tab w:val="right" w:leader="middleDot" w:pos="9707"/>
      </w:tabs>
      <w:spacing w:line="360" w:lineRule="auto"/>
      <w:ind w:left="420"/>
    </w:pPr>
    <w:rPr>
      <w:rFonts w:ascii="宋体"/>
      <w:sz w:val="24"/>
    </w:rPr>
  </w:style>
  <w:style w:type="paragraph" w:styleId="47">
    <w:name w:val="toc 9"/>
    <w:basedOn w:val="1"/>
    <w:next w:val="1"/>
    <w:qFormat/>
    <w:uiPriority w:val="99"/>
    <w:pPr>
      <w:widowControl w:val="0"/>
      <w:ind w:left="3360"/>
      <w:jc w:val="both"/>
    </w:pPr>
    <w:rPr>
      <w:kern w:val="2"/>
    </w:rPr>
  </w:style>
  <w:style w:type="paragraph" w:styleId="48">
    <w:name w:val="Body Text 2"/>
    <w:basedOn w:val="1"/>
    <w:link w:val="95"/>
    <w:qFormat/>
    <w:uiPriority w:val="99"/>
    <w:pPr>
      <w:spacing w:line="360" w:lineRule="auto"/>
    </w:pPr>
    <w:rPr>
      <w:rFonts w:ascii="宋体" w:hAnsi="宋体"/>
      <w:color w:val="000000"/>
      <w:sz w:val="24"/>
    </w:rPr>
  </w:style>
  <w:style w:type="paragraph" w:styleId="49">
    <w:name w:val="HTML Preformatted"/>
    <w:basedOn w:val="1"/>
    <w:link w:val="96"/>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50">
    <w:name w:val="Normal (Web)"/>
    <w:basedOn w:val="1"/>
    <w:qFormat/>
    <w:uiPriority w:val="99"/>
    <w:pPr>
      <w:spacing w:before="100" w:beforeAutospacing="1" w:after="100" w:afterAutospacing="1"/>
    </w:pPr>
    <w:rPr>
      <w:rFonts w:ascii="宋体" w:hAnsi="宋体" w:cs="宋体"/>
      <w:color w:val="000000"/>
      <w:sz w:val="24"/>
      <w:szCs w:val="24"/>
    </w:rPr>
  </w:style>
  <w:style w:type="paragraph" w:styleId="51">
    <w:name w:val="Title"/>
    <w:basedOn w:val="1"/>
    <w:link w:val="97"/>
    <w:qFormat/>
    <w:uiPriority w:val="99"/>
    <w:pPr>
      <w:widowControl w:val="0"/>
      <w:tabs>
        <w:tab w:val="left" w:pos="420"/>
      </w:tabs>
      <w:adjustRightInd w:val="0"/>
      <w:spacing w:before="120" w:line="360" w:lineRule="auto"/>
      <w:ind w:left="420" w:hanging="420"/>
      <w:jc w:val="both"/>
    </w:pPr>
    <w:rPr>
      <w:rFonts w:eastAsia="隶书_GB2312"/>
      <w:b/>
      <w:sz w:val="48"/>
    </w:rPr>
  </w:style>
  <w:style w:type="paragraph" w:styleId="52">
    <w:name w:val="annotation subject"/>
    <w:basedOn w:val="19"/>
    <w:next w:val="19"/>
    <w:link w:val="76"/>
    <w:qFormat/>
    <w:uiPriority w:val="99"/>
    <w:rPr>
      <w:b/>
      <w:bCs/>
    </w:rPr>
  </w:style>
  <w:style w:type="paragraph" w:styleId="53">
    <w:name w:val="Body Text First Indent"/>
    <w:basedOn w:val="1"/>
    <w:next w:val="1"/>
    <w:link w:val="77"/>
    <w:qFormat/>
    <w:uiPriority w:val="99"/>
    <w:pPr>
      <w:adjustRightInd w:val="0"/>
      <w:spacing w:after="120" w:line="240" w:lineRule="atLeast"/>
      <w:ind w:firstLine="420" w:firstLineChars="100"/>
    </w:pPr>
    <w:rPr>
      <w:sz w:val="24"/>
      <w:szCs w:val="24"/>
    </w:rPr>
  </w:style>
  <w:style w:type="paragraph" w:styleId="54">
    <w:name w:val="Body Text First Indent 2"/>
    <w:basedOn w:val="22"/>
    <w:link w:val="88"/>
    <w:qFormat/>
    <w:uiPriority w:val="99"/>
    <w:pPr>
      <w:ind w:firstLine="420" w:firstLineChars="200"/>
    </w:pPr>
  </w:style>
  <w:style w:type="table" w:styleId="56">
    <w:name w:val="Table Grid"/>
    <w:basedOn w:val="5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8">
    <w:name w:val="Strong"/>
    <w:basedOn w:val="57"/>
    <w:qFormat/>
    <w:locked/>
    <w:uiPriority w:val="99"/>
    <w:rPr>
      <w:rFonts w:cs="Times New Roman"/>
      <w:b/>
      <w:bCs/>
    </w:rPr>
  </w:style>
  <w:style w:type="character" w:styleId="59">
    <w:name w:val="page number"/>
    <w:basedOn w:val="57"/>
    <w:qFormat/>
    <w:uiPriority w:val="99"/>
    <w:rPr>
      <w:rFonts w:cs="Times New Roman"/>
    </w:rPr>
  </w:style>
  <w:style w:type="character" w:styleId="60">
    <w:name w:val="FollowedHyperlink"/>
    <w:basedOn w:val="57"/>
    <w:qFormat/>
    <w:uiPriority w:val="99"/>
    <w:rPr>
      <w:rFonts w:cs="Times New Roman"/>
      <w:color w:val="800080"/>
      <w:u w:val="single"/>
    </w:rPr>
  </w:style>
  <w:style w:type="character" w:styleId="61">
    <w:name w:val="HTML Typewriter"/>
    <w:basedOn w:val="57"/>
    <w:qFormat/>
    <w:uiPriority w:val="99"/>
    <w:rPr>
      <w:rFonts w:ascii="宋体" w:hAnsi="宋体" w:eastAsia="宋体" w:cs="Times New Roman"/>
      <w:sz w:val="24"/>
    </w:rPr>
  </w:style>
  <w:style w:type="character" w:styleId="62">
    <w:name w:val="Hyperlink"/>
    <w:basedOn w:val="57"/>
    <w:qFormat/>
    <w:uiPriority w:val="99"/>
    <w:rPr>
      <w:rFonts w:cs="Times New Roman"/>
      <w:color w:val="0000FF"/>
      <w:u w:val="single"/>
    </w:rPr>
  </w:style>
  <w:style w:type="character" w:styleId="63">
    <w:name w:val="annotation reference"/>
    <w:basedOn w:val="57"/>
    <w:qFormat/>
    <w:uiPriority w:val="99"/>
    <w:rPr>
      <w:rFonts w:cs="Times New Roman"/>
      <w:sz w:val="21"/>
    </w:rPr>
  </w:style>
  <w:style w:type="character" w:styleId="64">
    <w:name w:val="footnote reference"/>
    <w:basedOn w:val="57"/>
    <w:qFormat/>
    <w:uiPriority w:val="99"/>
    <w:rPr>
      <w:rFonts w:cs="Times New Roman"/>
      <w:vertAlign w:val="superscript"/>
    </w:rPr>
  </w:style>
  <w:style w:type="character" w:customStyle="1" w:styleId="65">
    <w:name w:val="标题 1 Char"/>
    <w:basedOn w:val="57"/>
    <w:link w:val="3"/>
    <w:qFormat/>
    <w:locked/>
    <w:uiPriority w:val="99"/>
    <w:rPr>
      <w:rFonts w:ascii="宋体" w:hAnsi="宋体" w:eastAsia="宋体" w:cs="Times New Roman"/>
      <w:b/>
      <w:kern w:val="44"/>
      <w:sz w:val="20"/>
      <w:szCs w:val="20"/>
    </w:rPr>
  </w:style>
  <w:style w:type="character" w:customStyle="1" w:styleId="66">
    <w:name w:val="标题 2 Char1"/>
    <w:basedOn w:val="57"/>
    <w:link w:val="4"/>
    <w:qFormat/>
    <w:locked/>
    <w:uiPriority w:val="99"/>
    <w:rPr>
      <w:rFonts w:ascii="宋体" w:hAnsi="Arial" w:eastAsia="宋体" w:cs="Times New Roman"/>
      <w:b/>
      <w:kern w:val="0"/>
      <w:sz w:val="28"/>
    </w:rPr>
  </w:style>
  <w:style w:type="character" w:customStyle="1" w:styleId="67">
    <w:name w:val="标题 3 Char1"/>
    <w:basedOn w:val="57"/>
    <w:link w:val="6"/>
    <w:semiHidden/>
    <w:qFormat/>
    <w:locked/>
    <w:uiPriority w:val="99"/>
    <w:rPr>
      <w:rFonts w:ascii="宋体" w:hAnsi="Times New Roman" w:eastAsia="宋体" w:cs="Times New Roman"/>
      <w:kern w:val="0"/>
      <w:sz w:val="20"/>
    </w:rPr>
  </w:style>
  <w:style w:type="character" w:customStyle="1" w:styleId="68">
    <w:name w:val="标题 4 Char"/>
    <w:basedOn w:val="57"/>
    <w:link w:val="7"/>
    <w:qFormat/>
    <w:locked/>
    <w:uiPriority w:val="99"/>
    <w:rPr>
      <w:rFonts w:ascii="宋体" w:hAnsi="Arial" w:eastAsia="宋体" w:cs="Times New Roman"/>
      <w:color w:val="000000"/>
      <w:kern w:val="0"/>
      <w:sz w:val="20"/>
      <w:szCs w:val="20"/>
    </w:rPr>
  </w:style>
  <w:style w:type="character" w:customStyle="1" w:styleId="69">
    <w:name w:val="标题 5 Char"/>
    <w:basedOn w:val="57"/>
    <w:link w:val="8"/>
    <w:semiHidden/>
    <w:qFormat/>
    <w:locked/>
    <w:uiPriority w:val="99"/>
    <w:rPr>
      <w:rFonts w:ascii="宋体" w:hAnsi="Times New Roman" w:eastAsia="宋体" w:cs="Times New Roman"/>
      <w:b/>
      <w:color w:val="000000"/>
      <w:kern w:val="0"/>
      <w:sz w:val="20"/>
      <w:szCs w:val="20"/>
    </w:rPr>
  </w:style>
  <w:style w:type="character" w:customStyle="1" w:styleId="70">
    <w:name w:val="标题 6 Char"/>
    <w:basedOn w:val="57"/>
    <w:link w:val="9"/>
    <w:semiHidden/>
    <w:qFormat/>
    <w:locked/>
    <w:uiPriority w:val="99"/>
    <w:rPr>
      <w:rFonts w:ascii="Arial" w:hAnsi="Arial" w:eastAsia="黑体" w:cs="Times New Roman"/>
      <w:b/>
      <w:color w:val="000000"/>
      <w:kern w:val="0"/>
      <w:sz w:val="20"/>
      <w:szCs w:val="20"/>
    </w:rPr>
  </w:style>
  <w:style w:type="character" w:customStyle="1" w:styleId="71">
    <w:name w:val="标题 7 Char"/>
    <w:basedOn w:val="57"/>
    <w:link w:val="10"/>
    <w:semiHidden/>
    <w:qFormat/>
    <w:locked/>
    <w:uiPriority w:val="99"/>
    <w:rPr>
      <w:rFonts w:ascii="宋体" w:hAnsi="Times New Roman" w:eastAsia="宋体" w:cs="Times New Roman"/>
      <w:b/>
      <w:color w:val="000000"/>
      <w:kern w:val="0"/>
      <w:sz w:val="20"/>
      <w:szCs w:val="20"/>
    </w:rPr>
  </w:style>
  <w:style w:type="character" w:customStyle="1" w:styleId="72">
    <w:name w:val="标题 8 Char"/>
    <w:basedOn w:val="57"/>
    <w:link w:val="11"/>
    <w:semiHidden/>
    <w:qFormat/>
    <w:locked/>
    <w:uiPriority w:val="99"/>
    <w:rPr>
      <w:rFonts w:ascii="Arial" w:hAnsi="Arial" w:eastAsia="黑体" w:cs="Times New Roman"/>
      <w:color w:val="000000"/>
      <w:kern w:val="0"/>
      <w:sz w:val="20"/>
      <w:szCs w:val="20"/>
    </w:rPr>
  </w:style>
  <w:style w:type="character" w:customStyle="1" w:styleId="73">
    <w:name w:val="标题 9 Char"/>
    <w:basedOn w:val="57"/>
    <w:link w:val="12"/>
    <w:semiHidden/>
    <w:qFormat/>
    <w:locked/>
    <w:uiPriority w:val="99"/>
    <w:rPr>
      <w:rFonts w:ascii="Arial" w:hAnsi="Arial" w:eastAsia="黑体" w:cs="Times New Roman"/>
      <w:color w:val="000000"/>
      <w:kern w:val="0"/>
      <w:sz w:val="20"/>
      <w:szCs w:val="20"/>
    </w:rPr>
  </w:style>
  <w:style w:type="character" w:customStyle="1" w:styleId="74">
    <w:name w:val="正文文本 Char"/>
    <w:basedOn w:val="57"/>
    <w:link w:val="2"/>
    <w:semiHidden/>
    <w:qFormat/>
    <w:locked/>
    <w:uiPriority w:val="99"/>
    <w:rPr>
      <w:rFonts w:ascii="Times New Roman" w:hAnsi="Times New Roman" w:eastAsia="宋体" w:cs="Times New Roman"/>
      <w:sz w:val="20"/>
      <w:szCs w:val="20"/>
    </w:rPr>
  </w:style>
  <w:style w:type="character" w:customStyle="1" w:styleId="75">
    <w:name w:val="批注文字 Char"/>
    <w:basedOn w:val="57"/>
    <w:link w:val="19"/>
    <w:qFormat/>
    <w:locked/>
    <w:uiPriority w:val="99"/>
    <w:rPr>
      <w:rFonts w:ascii="Times New Roman" w:hAnsi="Times New Roman" w:eastAsia="宋体" w:cs="Times New Roman"/>
      <w:kern w:val="0"/>
      <w:sz w:val="20"/>
      <w:szCs w:val="20"/>
    </w:rPr>
  </w:style>
  <w:style w:type="character" w:customStyle="1" w:styleId="76">
    <w:name w:val="批注主题 Char"/>
    <w:basedOn w:val="75"/>
    <w:link w:val="52"/>
    <w:semiHidden/>
    <w:qFormat/>
    <w:locked/>
    <w:uiPriority w:val="99"/>
    <w:rPr>
      <w:rFonts w:ascii="Times New Roman" w:hAnsi="Times New Roman" w:eastAsia="宋体" w:cs="Times New Roman"/>
      <w:b/>
      <w:bCs/>
      <w:kern w:val="0"/>
      <w:sz w:val="20"/>
      <w:szCs w:val="20"/>
    </w:rPr>
  </w:style>
  <w:style w:type="character" w:customStyle="1" w:styleId="77">
    <w:name w:val="正文首行缩进 Char"/>
    <w:basedOn w:val="74"/>
    <w:link w:val="53"/>
    <w:semiHidden/>
    <w:qFormat/>
    <w:locked/>
    <w:uiPriority w:val="99"/>
    <w:rPr>
      <w:rFonts w:ascii="Times New Roman" w:hAnsi="Times New Roman" w:eastAsia="宋体" w:cs="Times New Roman"/>
      <w:kern w:val="0"/>
      <w:sz w:val="24"/>
      <w:szCs w:val="24"/>
    </w:rPr>
  </w:style>
  <w:style w:type="character" w:customStyle="1" w:styleId="78">
    <w:name w:val="文档结构图 Char"/>
    <w:basedOn w:val="57"/>
    <w:link w:val="17"/>
    <w:semiHidden/>
    <w:qFormat/>
    <w:locked/>
    <w:uiPriority w:val="99"/>
    <w:rPr>
      <w:rFonts w:ascii="Times New Roman" w:hAnsi="Times New Roman" w:eastAsia="宋体" w:cs="Times New Roman"/>
      <w:kern w:val="0"/>
      <w:sz w:val="20"/>
      <w:szCs w:val="20"/>
      <w:shd w:val="clear" w:color="auto" w:fill="000080"/>
    </w:rPr>
  </w:style>
  <w:style w:type="character" w:customStyle="1" w:styleId="79">
    <w:name w:val="称呼 Char"/>
    <w:basedOn w:val="57"/>
    <w:link w:val="20"/>
    <w:semiHidden/>
    <w:qFormat/>
    <w:locked/>
    <w:uiPriority w:val="99"/>
    <w:rPr>
      <w:rFonts w:ascii="Times New Roman" w:hAnsi="Times New Roman" w:eastAsia="宋体" w:cs="Times New Roman"/>
      <w:sz w:val="24"/>
      <w:szCs w:val="24"/>
    </w:rPr>
  </w:style>
  <w:style w:type="character" w:customStyle="1" w:styleId="80">
    <w:name w:val="正文文本 3 Char"/>
    <w:basedOn w:val="57"/>
    <w:link w:val="21"/>
    <w:semiHidden/>
    <w:qFormat/>
    <w:locked/>
    <w:uiPriority w:val="99"/>
    <w:rPr>
      <w:rFonts w:ascii="Times New Roman" w:hAnsi="Times New Roman" w:eastAsia="宋体" w:cs="Times New Roman"/>
      <w:sz w:val="16"/>
      <w:szCs w:val="16"/>
    </w:rPr>
  </w:style>
  <w:style w:type="character" w:customStyle="1" w:styleId="81">
    <w:name w:val="正文文本缩进 Char2"/>
    <w:basedOn w:val="57"/>
    <w:link w:val="22"/>
    <w:semiHidden/>
    <w:qFormat/>
    <w:locked/>
    <w:uiPriority w:val="99"/>
    <w:rPr>
      <w:rFonts w:ascii="Times New Roman" w:hAnsi="Times New Roman" w:eastAsia="宋体" w:cs="Times New Roman"/>
      <w:kern w:val="0"/>
      <w:sz w:val="20"/>
      <w:szCs w:val="20"/>
    </w:rPr>
  </w:style>
  <w:style w:type="character" w:customStyle="1" w:styleId="82">
    <w:name w:val="纯文本 Char1"/>
    <w:basedOn w:val="57"/>
    <w:link w:val="27"/>
    <w:semiHidden/>
    <w:qFormat/>
    <w:locked/>
    <w:uiPriority w:val="99"/>
    <w:rPr>
      <w:rFonts w:ascii="宋体" w:hAnsi="Courier New" w:eastAsia="宋体" w:cs="Times New Roman"/>
    </w:rPr>
  </w:style>
  <w:style w:type="character" w:customStyle="1" w:styleId="83">
    <w:name w:val="日期 Char"/>
    <w:basedOn w:val="57"/>
    <w:link w:val="29"/>
    <w:semiHidden/>
    <w:qFormat/>
    <w:locked/>
    <w:uiPriority w:val="99"/>
    <w:rPr>
      <w:rFonts w:ascii="楷体_GB2312" w:hAnsi="Times New Roman" w:eastAsia="楷体_GB2312" w:cs="Times New Roman"/>
      <w:sz w:val="20"/>
      <w:szCs w:val="20"/>
    </w:rPr>
  </w:style>
  <w:style w:type="character" w:customStyle="1" w:styleId="84">
    <w:name w:val="正文文本缩进 2 Char"/>
    <w:basedOn w:val="57"/>
    <w:link w:val="30"/>
    <w:semiHidden/>
    <w:qFormat/>
    <w:locked/>
    <w:uiPriority w:val="99"/>
    <w:rPr>
      <w:rFonts w:ascii="Times New Roman" w:hAnsi="Times New Roman" w:eastAsia="宋体" w:cs="Times New Roman"/>
      <w:sz w:val="20"/>
      <w:szCs w:val="20"/>
    </w:rPr>
  </w:style>
  <w:style w:type="character" w:customStyle="1" w:styleId="85">
    <w:name w:val="尾注文本 Char"/>
    <w:basedOn w:val="57"/>
    <w:link w:val="31"/>
    <w:semiHidden/>
    <w:qFormat/>
    <w:locked/>
    <w:uiPriority w:val="99"/>
    <w:rPr>
      <w:rFonts w:ascii="宋体" w:hAnsi="Times New Roman" w:eastAsia="宋体" w:cs="Times New Roman"/>
      <w:kern w:val="0"/>
      <w:sz w:val="20"/>
      <w:szCs w:val="20"/>
    </w:rPr>
  </w:style>
  <w:style w:type="character" w:customStyle="1" w:styleId="86">
    <w:name w:val="批注框文本 Char"/>
    <w:basedOn w:val="57"/>
    <w:link w:val="32"/>
    <w:semiHidden/>
    <w:qFormat/>
    <w:locked/>
    <w:uiPriority w:val="99"/>
    <w:rPr>
      <w:rFonts w:ascii="Times New Roman" w:hAnsi="Times New Roman" w:eastAsia="宋体" w:cs="Times New Roman"/>
      <w:sz w:val="18"/>
      <w:szCs w:val="18"/>
    </w:rPr>
  </w:style>
  <w:style w:type="character" w:customStyle="1" w:styleId="87">
    <w:name w:val="Footer Char"/>
    <w:basedOn w:val="57"/>
    <w:qFormat/>
    <w:locked/>
    <w:uiPriority w:val="99"/>
    <w:rPr>
      <w:rFonts w:ascii="Calibri" w:hAnsi="Calibri" w:eastAsia="宋体" w:cs="Times New Roman"/>
      <w:kern w:val="2"/>
      <w:sz w:val="18"/>
      <w:lang w:val="en-US" w:eastAsia="zh-CN"/>
    </w:rPr>
  </w:style>
  <w:style w:type="character" w:customStyle="1" w:styleId="88">
    <w:name w:val="正文首行缩进 2 Char"/>
    <w:basedOn w:val="89"/>
    <w:link w:val="54"/>
    <w:semiHidden/>
    <w:qFormat/>
    <w:locked/>
    <w:uiPriority w:val="99"/>
    <w:rPr>
      <w:rFonts w:ascii="Times New Roman" w:hAnsi="Times New Roman" w:eastAsia="宋体" w:cs="Times New Roman"/>
      <w:kern w:val="0"/>
      <w:sz w:val="20"/>
      <w:szCs w:val="20"/>
    </w:rPr>
  </w:style>
  <w:style w:type="character" w:customStyle="1" w:styleId="89">
    <w:name w:val="正文文本缩进 Char"/>
    <w:basedOn w:val="57"/>
    <w:semiHidden/>
    <w:qFormat/>
    <w:uiPriority w:val="99"/>
    <w:rPr>
      <w:rFonts w:ascii="Times New Roman" w:hAnsi="Times New Roman" w:eastAsia="宋体" w:cs="Times New Roman"/>
      <w:kern w:val="0"/>
      <w:sz w:val="20"/>
      <w:szCs w:val="20"/>
    </w:rPr>
  </w:style>
  <w:style w:type="character" w:customStyle="1" w:styleId="90">
    <w:name w:val="Header Char"/>
    <w:basedOn w:val="57"/>
    <w:qFormat/>
    <w:locked/>
    <w:uiPriority w:val="99"/>
    <w:rPr>
      <w:rFonts w:ascii="Calibri" w:hAnsi="Calibri" w:eastAsia="宋体" w:cs="Times New Roman"/>
      <w:kern w:val="2"/>
      <w:sz w:val="18"/>
      <w:lang w:val="en-US" w:eastAsia="zh-CN"/>
    </w:rPr>
  </w:style>
  <w:style w:type="character" w:customStyle="1" w:styleId="91">
    <w:name w:val="签名 Char"/>
    <w:basedOn w:val="57"/>
    <w:link w:val="35"/>
    <w:semiHidden/>
    <w:qFormat/>
    <w:locked/>
    <w:uiPriority w:val="99"/>
    <w:rPr>
      <w:rFonts w:ascii="Times New Roman" w:hAnsi="Times New Roman" w:eastAsia="楷体_GB2312" w:cs="Times New Roman"/>
      <w:sz w:val="20"/>
      <w:szCs w:val="20"/>
    </w:rPr>
  </w:style>
  <w:style w:type="character" w:customStyle="1" w:styleId="92">
    <w:name w:val="副标题 Char"/>
    <w:basedOn w:val="57"/>
    <w:link w:val="40"/>
    <w:qFormat/>
    <w:locked/>
    <w:uiPriority w:val="99"/>
    <w:rPr>
      <w:rFonts w:ascii="Arial" w:hAnsi="Arial" w:eastAsia="黑体" w:cs="Times New Roman"/>
      <w:spacing w:val="40"/>
      <w:kern w:val="0"/>
      <w:sz w:val="20"/>
      <w:szCs w:val="20"/>
      <w:u w:val="single"/>
    </w:rPr>
  </w:style>
  <w:style w:type="character" w:customStyle="1" w:styleId="93">
    <w:name w:val="脚注文本 Char"/>
    <w:basedOn w:val="57"/>
    <w:link w:val="42"/>
    <w:semiHidden/>
    <w:qFormat/>
    <w:locked/>
    <w:uiPriority w:val="99"/>
    <w:rPr>
      <w:rFonts w:ascii="Times New Roman" w:hAnsi="Times New Roman" w:eastAsia="宋体" w:cs="Times New Roman"/>
      <w:sz w:val="18"/>
      <w:szCs w:val="18"/>
    </w:rPr>
  </w:style>
  <w:style w:type="character" w:customStyle="1" w:styleId="94">
    <w:name w:val="正文文本缩进 3 Char"/>
    <w:basedOn w:val="57"/>
    <w:link w:val="44"/>
    <w:semiHidden/>
    <w:qFormat/>
    <w:locked/>
    <w:uiPriority w:val="99"/>
    <w:rPr>
      <w:rFonts w:ascii="Times New Roman" w:hAnsi="Times New Roman" w:eastAsia="宋体" w:cs="Times New Roman"/>
      <w:sz w:val="20"/>
      <w:szCs w:val="20"/>
    </w:rPr>
  </w:style>
  <w:style w:type="character" w:customStyle="1" w:styleId="95">
    <w:name w:val="正文文本 2 Char"/>
    <w:basedOn w:val="57"/>
    <w:link w:val="48"/>
    <w:semiHidden/>
    <w:qFormat/>
    <w:locked/>
    <w:uiPriority w:val="99"/>
    <w:rPr>
      <w:rFonts w:ascii="宋体" w:hAnsi="宋体" w:eastAsia="宋体" w:cs="Times New Roman"/>
      <w:color w:val="000000"/>
      <w:kern w:val="0"/>
      <w:sz w:val="20"/>
      <w:szCs w:val="20"/>
    </w:rPr>
  </w:style>
  <w:style w:type="character" w:customStyle="1" w:styleId="96">
    <w:name w:val="HTML 预设格式 Char"/>
    <w:basedOn w:val="57"/>
    <w:link w:val="49"/>
    <w:semiHidden/>
    <w:qFormat/>
    <w:locked/>
    <w:uiPriority w:val="99"/>
    <w:rPr>
      <w:rFonts w:ascii="Arial" w:hAnsi="Arial" w:eastAsia="宋体" w:cs="Arial"/>
      <w:kern w:val="0"/>
      <w:sz w:val="20"/>
      <w:szCs w:val="20"/>
    </w:rPr>
  </w:style>
  <w:style w:type="character" w:customStyle="1" w:styleId="97">
    <w:name w:val="标题 Char"/>
    <w:basedOn w:val="57"/>
    <w:link w:val="51"/>
    <w:qFormat/>
    <w:locked/>
    <w:uiPriority w:val="99"/>
    <w:rPr>
      <w:rFonts w:ascii="Times New Roman" w:hAnsi="Times New Roman" w:eastAsia="隶书_GB2312" w:cs="Times New Roman"/>
      <w:b/>
      <w:kern w:val="0"/>
      <w:sz w:val="20"/>
      <w:szCs w:val="20"/>
    </w:rPr>
  </w:style>
  <w:style w:type="paragraph" w:customStyle="1" w:styleId="98">
    <w:name w:val="Char"/>
    <w:basedOn w:val="1"/>
    <w:qFormat/>
    <w:uiPriority w:val="99"/>
    <w:rPr>
      <w:rFonts w:ascii="Tahoma" w:hAnsi="Tahoma"/>
      <w:sz w:val="24"/>
    </w:rPr>
  </w:style>
  <w:style w:type="character" w:customStyle="1" w:styleId="99">
    <w:name w:val="标题 2 Char"/>
    <w:basedOn w:val="57"/>
    <w:semiHidden/>
    <w:qFormat/>
    <w:uiPriority w:val="99"/>
    <w:rPr>
      <w:rFonts w:ascii="Calibri Light" w:hAnsi="Calibri Light" w:eastAsia="宋体" w:cs="Times New Roman"/>
      <w:b/>
      <w:bCs/>
      <w:kern w:val="0"/>
      <w:sz w:val="32"/>
      <w:szCs w:val="32"/>
    </w:rPr>
  </w:style>
  <w:style w:type="character" w:customStyle="1" w:styleId="100">
    <w:name w:val="标题 3 Char"/>
    <w:basedOn w:val="57"/>
    <w:semiHidden/>
    <w:qFormat/>
    <w:uiPriority w:val="99"/>
    <w:rPr>
      <w:rFonts w:ascii="Times New Roman" w:hAnsi="Times New Roman" w:eastAsia="宋体" w:cs="Times New Roman"/>
      <w:b/>
      <w:bCs/>
      <w:kern w:val="0"/>
      <w:sz w:val="32"/>
      <w:szCs w:val="32"/>
    </w:rPr>
  </w:style>
  <w:style w:type="character" w:customStyle="1" w:styleId="101">
    <w:name w:val="正文缩进 Char"/>
    <w:link w:val="5"/>
    <w:qFormat/>
    <w:locked/>
    <w:uiPriority w:val="99"/>
    <w:rPr>
      <w:rFonts w:ascii="Times New Roman" w:hAnsi="Times New Roman" w:eastAsia="宋体"/>
      <w:kern w:val="0"/>
      <w:sz w:val="20"/>
    </w:rPr>
  </w:style>
  <w:style w:type="character" w:customStyle="1" w:styleId="102">
    <w:name w:val="页眉 Char"/>
    <w:basedOn w:val="57"/>
    <w:semiHidden/>
    <w:qFormat/>
    <w:uiPriority w:val="99"/>
    <w:rPr>
      <w:rFonts w:ascii="Times New Roman" w:hAnsi="Times New Roman" w:eastAsia="宋体" w:cs="Times New Roman"/>
      <w:kern w:val="0"/>
      <w:sz w:val="18"/>
      <w:szCs w:val="18"/>
    </w:rPr>
  </w:style>
  <w:style w:type="character" w:customStyle="1" w:styleId="103">
    <w:name w:val="页脚 Char"/>
    <w:basedOn w:val="57"/>
    <w:link w:val="33"/>
    <w:qFormat/>
    <w:locked/>
    <w:uiPriority w:val="99"/>
    <w:rPr>
      <w:rFonts w:ascii="Times New Roman" w:hAnsi="Times New Roman" w:eastAsia="宋体" w:cs="Times New Roman"/>
      <w:kern w:val="0"/>
      <w:sz w:val="20"/>
      <w:szCs w:val="20"/>
    </w:rPr>
  </w:style>
  <w:style w:type="character" w:customStyle="1" w:styleId="104">
    <w:name w:val="纯文本 Char"/>
    <w:basedOn w:val="57"/>
    <w:link w:val="105"/>
    <w:semiHidden/>
    <w:qFormat/>
    <w:locked/>
    <w:uiPriority w:val="99"/>
    <w:rPr>
      <w:rFonts w:ascii="宋体" w:hAnsi="Courier New" w:eastAsia="宋体" w:cs="Courier New"/>
      <w:kern w:val="0"/>
      <w:sz w:val="21"/>
      <w:szCs w:val="21"/>
    </w:rPr>
  </w:style>
  <w:style w:type="paragraph" w:customStyle="1" w:styleId="105">
    <w:name w:val="纯文本1"/>
    <w:basedOn w:val="1"/>
    <w:link w:val="104"/>
    <w:qFormat/>
    <w:uiPriority w:val="99"/>
    <w:pPr>
      <w:widowControl w:val="0"/>
      <w:jc w:val="both"/>
    </w:pPr>
    <w:rPr>
      <w:rFonts w:ascii="宋体" w:hAnsi="Courier New" w:cs="Courier New"/>
      <w:szCs w:val="21"/>
    </w:rPr>
  </w:style>
  <w:style w:type="paragraph" w:customStyle="1" w:styleId="106">
    <w:name w:val="No Spacing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7">
    <w:name w:val="Revision1"/>
    <w:semiHidden/>
    <w:qFormat/>
    <w:uiPriority w:val="99"/>
    <w:rPr>
      <w:rFonts w:ascii="Times New Roman" w:hAnsi="Times New Roman" w:eastAsia="宋体" w:cs="Times New Roman"/>
      <w:kern w:val="2"/>
      <w:sz w:val="21"/>
      <w:szCs w:val="24"/>
      <w:lang w:val="en-US" w:eastAsia="zh-CN" w:bidi="ar-SA"/>
    </w:rPr>
  </w:style>
  <w:style w:type="character" w:customStyle="1" w:styleId="108">
    <w:name w:val="列出段落 Char"/>
    <w:link w:val="109"/>
    <w:qFormat/>
    <w:locked/>
    <w:uiPriority w:val="99"/>
    <w:rPr>
      <w:rFonts w:ascii="Calibri" w:hAnsi="Calibri"/>
    </w:rPr>
  </w:style>
  <w:style w:type="paragraph" w:customStyle="1" w:styleId="109">
    <w:name w:val="List Paragraph1"/>
    <w:basedOn w:val="1"/>
    <w:link w:val="108"/>
    <w:qFormat/>
    <w:uiPriority w:val="99"/>
    <w:pPr>
      <w:widowControl w:val="0"/>
      <w:ind w:firstLine="420" w:firstLineChars="200"/>
      <w:jc w:val="both"/>
    </w:pPr>
    <w:rPr>
      <w:rFonts w:ascii="Calibri" w:hAnsi="Calibri"/>
      <w:sz w:val="20"/>
    </w:rPr>
  </w:style>
  <w:style w:type="paragraph" w:customStyle="1" w:styleId="110">
    <w:name w:val="TOC Heading1"/>
    <w:basedOn w:val="3"/>
    <w:next w:val="1"/>
    <w:qFormat/>
    <w:uiPriority w:val="99"/>
    <w:pPr>
      <w:widowControl/>
      <w:tabs>
        <w:tab w:val="clear" w:pos="840"/>
      </w:tabs>
      <w:adjustRightInd/>
      <w:snapToGrid/>
      <w:spacing w:before="480" w:line="276" w:lineRule="auto"/>
      <w:jc w:val="left"/>
      <w:outlineLvl w:val="9"/>
    </w:pPr>
    <w:rPr>
      <w:rFonts w:ascii="Cambria" w:hAnsi="Cambria"/>
      <w:bCs/>
      <w:color w:val="365F91"/>
      <w:kern w:val="0"/>
      <w:sz w:val="28"/>
      <w:szCs w:val="28"/>
    </w:rPr>
  </w:style>
  <w:style w:type="paragraph" w:customStyle="1" w:styleId="111">
    <w:name w:val="样式 首行缩进:  0.74 厘米"/>
    <w:basedOn w:val="1"/>
    <w:qFormat/>
    <w:uiPriority w:val="99"/>
    <w:pPr>
      <w:widowControl w:val="0"/>
      <w:spacing w:line="360" w:lineRule="auto"/>
      <w:ind w:firstLine="200" w:firstLineChars="200"/>
      <w:jc w:val="both"/>
    </w:pPr>
    <w:rPr>
      <w:rFonts w:cs="宋体"/>
      <w:kern w:val="2"/>
      <w:sz w:val="24"/>
    </w:rPr>
  </w:style>
  <w:style w:type="paragraph" w:customStyle="1" w:styleId="112">
    <w:name w:val="书籍标题1"/>
    <w:basedOn w:val="1"/>
    <w:next w:val="1"/>
    <w:qFormat/>
    <w:uiPriority w:val="99"/>
    <w:pPr>
      <w:pageBreakBefore/>
      <w:tabs>
        <w:tab w:val="left" w:pos="360"/>
      </w:tabs>
      <w:spacing w:beforeLines="200" w:afterLines="200"/>
      <w:ind w:left="360" w:hanging="360"/>
      <w:jc w:val="center"/>
      <w:outlineLvl w:val="0"/>
    </w:pPr>
    <w:rPr>
      <w:rFonts w:eastAsia="黑体"/>
      <w:b/>
      <w:bCs/>
      <w:spacing w:val="20"/>
      <w:kern w:val="44"/>
      <w:sz w:val="44"/>
    </w:rPr>
  </w:style>
  <w:style w:type="character" w:customStyle="1" w:styleId="113">
    <w:name w:val="正文首行缩进2字 Char"/>
    <w:link w:val="114"/>
    <w:qFormat/>
    <w:locked/>
    <w:uiPriority w:val="99"/>
    <w:rPr>
      <w:rFonts w:ascii="楷体_GB2312" w:eastAsia="楷体_GB2312"/>
      <w:sz w:val="28"/>
    </w:rPr>
  </w:style>
  <w:style w:type="paragraph" w:customStyle="1" w:styleId="114">
    <w:name w:val="正文首行缩进2字"/>
    <w:basedOn w:val="1"/>
    <w:link w:val="113"/>
    <w:qFormat/>
    <w:uiPriority w:val="99"/>
    <w:pPr>
      <w:widowControl w:val="0"/>
      <w:spacing w:before="100" w:beforeAutospacing="1" w:after="100" w:afterAutospacing="1"/>
      <w:ind w:firstLine="567"/>
      <w:jc w:val="both"/>
    </w:pPr>
    <w:rPr>
      <w:rFonts w:ascii="楷体_GB2312" w:hAnsi="Calibri" w:eastAsia="楷体_GB2312"/>
      <w:sz w:val="28"/>
    </w:rPr>
  </w:style>
  <w:style w:type="paragraph" w:customStyle="1" w:styleId="115">
    <w:name w:val="样式4"/>
    <w:basedOn w:val="36"/>
    <w:qFormat/>
    <w:uiPriority w:val="99"/>
    <w:pPr>
      <w:widowControl w:val="0"/>
      <w:tabs>
        <w:tab w:val="right" w:leader="dot" w:pos="9458"/>
        <w:tab w:val="clear" w:pos="9499"/>
      </w:tabs>
      <w:spacing w:line="240" w:lineRule="auto"/>
      <w:jc w:val="left"/>
    </w:pPr>
    <w:rPr>
      <w:rFonts w:ascii="Times New Roman" w:hAnsi="Times New Roman" w:eastAsia="黑体"/>
      <w:b w:val="0"/>
      <w:caps/>
      <w:kern w:val="2"/>
      <w:sz w:val="28"/>
      <w:szCs w:val="44"/>
    </w:rPr>
  </w:style>
  <w:style w:type="paragraph" w:customStyle="1" w:styleId="116">
    <w:name w:val="_Style 45"/>
    <w:basedOn w:val="1"/>
    <w:qFormat/>
    <w:uiPriority w:val="99"/>
    <w:pPr>
      <w:widowControl w:val="0"/>
      <w:jc w:val="both"/>
    </w:pPr>
    <w:rPr>
      <w:rFonts w:ascii="宋体" w:hAnsi="宋体"/>
      <w:b/>
      <w:kern w:val="2"/>
      <w:sz w:val="28"/>
      <w:szCs w:val="28"/>
    </w:rPr>
  </w:style>
  <w:style w:type="paragraph" w:customStyle="1" w:styleId="117">
    <w:name w:val="表格文字"/>
    <w:basedOn w:val="1"/>
    <w:qFormat/>
    <w:uiPriority w:val="99"/>
    <w:pPr>
      <w:widowControl w:val="0"/>
      <w:spacing w:before="25" w:after="25" w:line="300" w:lineRule="auto"/>
      <w:jc w:val="both"/>
    </w:pPr>
    <w:rPr>
      <w:rFonts w:ascii="Times" w:hAnsi="Times"/>
      <w:spacing w:val="10"/>
      <w:sz w:val="24"/>
    </w:rPr>
  </w:style>
  <w:style w:type="paragraph" w:customStyle="1" w:styleId="118">
    <w:name w:val="xl104"/>
    <w:basedOn w:val="1"/>
    <w:qFormat/>
    <w:uiPriority w:val="99"/>
    <w:pPr>
      <w:pBdr>
        <w:bottom w:val="single" w:color="auto" w:sz="8" w:space="0"/>
      </w:pBdr>
      <w:spacing w:before="100" w:beforeAutospacing="1" w:after="100" w:afterAutospacing="1"/>
      <w:jc w:val="center"/>
    </w:pPr>
    <w:rPr>
      <w:rFonts w:ascii="宋体" w:hAnsi="宋体" w:cs="Arial Unicode MS"/>
      <w:b/>
      <w:bCs/>
      <w:sz w:val="16"/>
      <w:szCs w:val="16"/>
    </w:rPr>
  </w:style>
  <w:style w:type="paragraph" w:customStyle="1" w:styleId="119">
    <w:name w:val="图表注释"/>
    <w:basedOn w:val="1"/>
    <w:qFormat/>
    <w:uiPriority w:val="99"/>
    <w:pPr>
      <w:widowControl w:val="0"/>
      <w:spacing w:line="360" w:lineRule="auto"/>
      <w:jc w:val="center"/>
    </w:pPr>
    <w:rPr>
      <w:rFonts w:ascii="宋体" w:hAnsi="宋体"/>
      <w:bCs/>
      <w:kern w:val="2"/>
      <w:szCs w:val="24"/>
    </w:rPr>
  </w:style>
  <w:style w:type="paragraph" w:customStyle="1" w:styleId="120">
    <w:name w:val="编号4级"/>
    <w:qFormat/>
    <w:uiPriority w:val="99"/>
    <w:pPr>
      <w:numPr>
        <w:ilvl w:val="3"/>
        <w:numId w:val="2"/>
      </w:numPr>
      <w:spacing w:line="360" w:lineRule="auto"/>
    </w:pPr>
    <w:rPr>
      <w:rFonts w:ascii="Times New Roman" w:hAnsi="Times New Roman" w:eastAsia="宋体" w:cs="Times New Roman"/>
      <w:kern w:val="24"/>
      <w:sz w:val="24"/>
      <w:szCs w:val="18"/>
      <w:lang w:val="en-US" w:eastAsia="zh-CN" w:bidi="ar-SA"/>
    </w:rPr>
  </w:style>
  <w:style w:type="paragraph" w:customStyle="1" w:styleId="121">
    <w:name w:val="条目1_My"/>
    <w:basedOn w:val="1"/>
    <w:qFormat/>
    <w:uiPriority w:val="99"/>
    <w:pPr>
      <w:widowControl w:val="0"/>
      <w:numPr>
        <w:ilvl w:val="0"/>
        <w:numId w:val="3"/>
      </w:numPr>
      <w:tabs>
        <w:tab w:val="left" w:pos="590"/>
        <w:tab w:val="clear" w:pos="425"/>
      </w:tabs>
      <w:ind w:left="590" w:hanging="420"/>
      <w:jc w:val="both"/>
    </w:pPr>
    <w:rPr>
      <w:kern w:val="2"/>
      <w:szCs w:val="24"/>
    </w:rPr>
  </w:style>
  <w:style w:type="paragraph" w:customStyle="1" w:styleId="122">
    <w:name w:val="_Style 56"/>
    <w:basedOn w:val="1"/>
    <w:qFormat/>
    <w:uiPriority w:val="99"/>
    <w:pPr>
      <w:widowControl w:val="0"/>
      <w:jc w:val="both"/>
    </w:pPr>
  </w:style>
  <w:style w:type="paragraph" w:customStyle="1" w:styleId="123">
    <w:name w:val="保留正文"/>
    <w:basedOn w:val="2"/>
    <w:qFormat/>
    <w:uiPriority w:val="99"/>
    <w:pPr>
      <w:keepNext/>
      <w:spacing w:after="160"/>
    </w:pPr>
    <w:rPr>
      <w:sz w:val="21"/>
      <w:szCs w:val="24"/>
    </w:rPr>
  </w:style>
  <w:style w:type="paragraph" w:customStyle="1" w:styleId="124">
    <w:name w:val="样式 Samplex 标准段落B"/>
    <w:basedOn w:val="1"/>
    <w:qFormat/>
    <w:uiPriority w:val="99"/>
    <w:pPr>
      <w:widowControl w:val="0"/>
      <w:spacing w:beforeLines="50" w:line="360" w:lineRule="exact"/>
      <w:ind w:firstLine="420"/>
      <w:jc w:val="both"/>
    </w:pPr>
    <w:rPr>
      <w:rFonts w:ascii="宋体" w:hAnsi="宋体"/>
      <w:spacing w:val="6"/>
      <w:kern w:val="2"/>
      <w:szCs w:val="21"/>
    </w:rPr>
  </w:style>
  <w:style w:type="paragraph" w:customStyle="1" w:styleId="125">
    <w:name w:val="xl93"/>
    <w:basedOn w:val="1"/>
    <w:qFormat/>
    <w:uiPriority w:val="99"/>
    <w:pPr>
      <w:pBdr>
        <w:bottom w:val="single" w:color="auto" w:sz="4" w:space="0"/>
      </w:pBdr>
      <w:spacing w:before="100" w:beforeAutospacing="1" w:after="100" w:afterAutospacing="1"/>
      <w:jc w:val="center"/>
    </w:pPr>
    <w:rPr>
      <w:rFonts w:ascii="Arial Unicode MS" w:hAnsi="Arial Unicode MS"/>
      <w:b/>
      <w:bCs/>
      <w:sz w:val="20"/>
    </w:rPr>
  </w:style>
  <w:style w:type="paragraph" w:customStyle="1" w:styleId="126">
    <w:name w:val="xl37"/>
    <w:basedOn w:val="1"/>
    <w:qFormat/>
    <w:uiPriority w:val="99"/>
    <w:pPr>
      <w:spacing w:before="100" w:beforeAutospacing="1" w:after="100" w:afterAutospacing="1"/>
    </w:pPr>
    <w:rPr>
      <w:rFonts w:ascii="宋体" w:hAnsi="宋体" w:cs="宋体"/>
      <w:sz w:val="24"/>
      <w:szCs w:val="24"/>
    </w:rPr>
  </w:style>
  <w:style w:type="paragraph" w:customStyle="1" w:styleId="127">
    <w:name w:val="目录"/>
    <w:basedOn w:val="1"/>
    <w:qFormat/>
    <w:uiPriority w:val="99"/>
    <w:pPr>
      <w:spacing w:line="480" w:lineRule="auto"/>
      <w:jc w:val="center"/>
    </w:pPr>
    <w:rPr>
      <w:rFonts w:ascii="宋体"/>
      <w:b/>
      <w:sz w:val="24"/>
    </w:rPr>
  </w:style>
  <w:style w:type="paragraph" w:customStyle="1" w:styleId="128">
    <w:name w:val="xl7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29">
    <w:name w:val="Char Char24 Char Char Char Char"/>
    <w:basedOn w:val="1"/>
    <w:qFormat/>
    <w:uiPriority w:val="99"/>
    <w:pPr>
      <w:spacing w:after="160" w:line="240" w:lineRule="exact"/>
    </w:pPr>
    <w:rPr>
      <w:kern w:val="2"/>
      <w:szCs w:val="24"/>
    </w:rPr>
  </w:style>
  <w:style w:type="paragraph" w:customStyle="1" w:styleId="130">
    <w:name w:val="xl3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Cs w:val="21"/>
    </w:rPr>
  </w:style>
  <w:style w:type="paragraph" w:customStyle="1" w:styleId="131">
    <w:name w:val="需求书2"/>
    <w:basedOn w:val="1"/>
    <w:qFormat/>
    <w:uiPriority w:val="99"/>
    <w:pPr>
      <w:jc w:val="center"/>
    </w:pPr>
    <w:rPr>
      <w:rFonts w:ascii="宋体" w:hAnsi="宋体" w:cs="Arial"/>
      <w:color w:val="FF0000"/>
      <w:sz w:val="20"/>
    </w:rPr>
  </w:style>
  <w:style w:type="paragraph" w:customStyle="1" w:styleId="132">
    <w:name w:val="默认段落字体 Para Char Char Char Char Char Char Char"/>
    <w:basedOn w:val="1"/>
    <w:qFormat/>
    <w:uiPriority w:val="99"/>
    <w:pPr>
      <w:widowControl w:val="0"/>
      <w:jc w:val="both"/>
    </w:pPr>
    <w:rPr>
      <w:rFonts w:ascii="Tahoma" w:hAnsi="Tahoma"/>
      <w:kern w:val="2"/>
      <w:sz w:val="24"/>
    </w:rPr>
  </w:style>
  <w:style w:type="paragraph" w:customStyle="1" w:styleId="133">
    <w:name w:val="列出段落1"/>
    <w:basedOn w:val="1"/>
    <w:qFormat/>
    <w:uiPriority w:val="99"/>
    <w:pPr>
      <w:widowControl w:val="0"/>
      <w:spacing w:line="360" w:lineRule="auto"/>
      <w:ind w:firstLine="420" w:firstLineChars="200"/>
      <w:jc w:val="both"/>
    </w:pPr>
    <w:rPr>
      <w:kern w:val="2"/>
      <w:sz w:val="24"/>
      <w:szCs w:val="24"/>
    </w:rPr>
  </w:style>
  <w:style w:type="paragraph" w:customStyle="1" w:styleId="134">
    <w:name w:val="text"/>
    <w:basedOn w:val="1"/>
    <w:qFormat/>
    <w:uiPriority w:val="99"/>
    <w:pPr>
      <w:spacing w:before="100" w:beforeAutospacing="1" w:after="100" w:afterAutospacing="1"/>
    </w:pPr>
    <w:rPr>
      <w:rFonts w:ascii="??" w:hAnsi="??" w:cs="宋体"/>
      <w:color w:val="000000"/>
      <w:sz w:val="18"/>
      <w:szCs w:val="18"/>
    </w:rPr>
  </w:style>
  <w:style w:type="character" w:customStyle="1" w:styleId="135">
    <w:name w:val="Table Text Char1"/>
    <w:link w:val="136"/>
    <w:qFormat/>
    <w:locked/>
    <w:uiPriority w:val="99"/>
    <w:rPr>
      <w:rFonts w:ascii="Arial" w:hAnsi="Arial"/>
      <w:kern w:val="2"/>
      <w:sz w:val="22"/>
      <w:lang w:val="en-US" w:eastAsia="zh-CN"/>
    </w:rPr>
  </w:style>
  <w:style w:type="paragraph" w:customStyle="1" w:styleId="136">
    <w:name w:val="Table Text"/>
    <w:link w:val="135"/>
    <w:qFormat/>
    <w:uiPriority w:val="99"/>
    <w:pPr>
      <w:snapToGrid w:val="0"/>
      <w:spacing w:before="80" w:after="80"/>
    </w:pPr>
    <w:rPr>
      <w:rFonts w:ascii="Arial" w:hAnsi="Arial" w:eastAsia="宋体" w:cs="Arial"/>
      <w:kern w:val="2"/>
      <w:sz w:val="18"/>
      <w:szCs w:val="22"/>
      <w:lang w:val="en-US" w:eastAsia="zh-CN" w:bidi="ar-SA"/>
    </w:rPr>
  </w:style>
  <w:style w:type="paragraph" w:customStyle="1" w:styleId="137">
    <w:name w:val="xl6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color w:val="000000"/>
      <w:sz w:val="20"/>
    </w:rPr>
  </w:style>
  <w:style w:type="paragraph" w:customStyle="1" w:styleId="138">
    <w:name w:val="xl92"/>
    <w:basedOn w:val="1"/>
    <w:qFormat/>
    <w:uiPriority w:val="99"/>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Arial Unicode MS"/>
      <w:b/>
      <w:bCs/>
      <w:sz w:val="16"/>
      <w:szCs w:val="16"/>
    </w:rPr>
  </w:style>
  <w:style w:type="paragraph" w:customStyle="1" w:styleId="139">
    <w:name w:val="_Style 35"/>
    <w:basedOn w:val="1"/>
    <w:qFormat/>
    <w:uiPriority w:val="99"/>
    <w:pPr>
      <w:spacing w:after="160" w:line="240" w:lineRule="exact"/>
    </w:pPr>
    <w:rPr>
      <w:kern w:val="2"/>
    </w:rPr>
  </w:style>
  <w:style w:type="paragraph" w:customStyle="1" w:styleId="140">
    <w:name w:val="xl3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szCs w:val="21"/>
    </w:rPr>
  </w:style>
  <w:style w:type="paragraph" w:customStyle="1" w:styleId="141">
    <w:name w:val="xl8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Arial Unicode MS"/>
      <w:b/>
      <w:bCs/>
      <w:sz w:val="16"/>
      <w:szCs w:val="16"/>
    </w:rPr>
  </w:style>
  <w:style w:type="paragraph" w:customStyle="1" w:styleId="142">
    <w:name w:val="Char1 Char Char Char Char"/>
    <w:basedOn w:val="1"/>
    <w:qFormat/>
    <w:uiPriority w:val="99"/>
    <w:pPr>
      <w:widowControl w:val="0"/>
      <w:jc w:val="both"/>
    </w:pPr>
    <w:rPr>
      <w:kern w:val="2"/>
    </w:rPr>
  </w:style>
  <w:style w:type="paragraph" w:customStyle="1" w:styleId="143">
    <w:name w:val="Char Char13 Char Char"/>
    <w:basedOn w:val="1"/>
    <w:qFormat/>
    <w:uiPriority w:val="99"/>
    <w:pPr>
      <w:widowControl w:val="0"/>
      <w:jc w:val="both"/>
    </w:pPr>
  </w:style>
  <w:style w:type="paragraph" w:customStyle="1" w:styleId="144">
    <w:name w:val="Char Char2 Char Char"/>
    <w:basedOn w:val="1"/>
    <w:qFormat/>
    <w:uiPriority w:val="99"/>
    <w:pPr>
      <w:spacing w:after="160" w:line="240" w:lineRule="exact"/>
    </w:pPr>
    <w:rPr>
      <w:kern w:val="2"/>
    </w:rPr>
  </w:style>
  <w:style w:type="paragraph" w:customStyle="1" w:styleId="145">
    <w:name w:val="xl29"/>
    <w:basedOn w:val="1"/>
    <w:qFormat/>
    <w:uiPriority w:val="99"/>
    <w:pPr>
      <w:spacing w:before="100" w:beforeAutospacing="1" w:after="100" w:afterAutospacing="1"/>
      <w:jc w:val="both"/>
    </w:pPr>
    <w:rPr>
      <w:rFonts w:ascii="宋体" w:hAnsi="宋体"/>
      <w:szCs w:val="21"/>
    </w:rPr>
  </w:style>
  <w:style w:type="paragraph" w:customStyle="1" w:styleId="146">
    <w:name w:val="xl31"/>
    <w:basedOn w:val="1"/>
    <w:qFormat/>
    <w:uiPriority w:val="99"/>
    <w:pPr>
      <w:pBdr>
        <w:top w:val="single" w:color="auto" w:sz="4" w:space="0"/>
        <w:left w:val="single" w:color="auto" w:sz="4" w:space="0"/>
        <w:right w:val="single" w:color="auto" w:sz="4" w:space="0"/>
      </w:pBdr>
      <w:spacing w:before="100" w:beforeAutospacing="1" w:after="100" w:afterAutospacing="1"/>
    </w:pPr>
    <w:rPr>
      <w:sz w:val="22"/>
      <w:szCs w:val="22"/>
    </w:rPr>
  </w:style>
  <w:style w:type="paragraph" w:customStyle="1" w:styleId="147">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148">
    <w:name w:val="正文无缩进"/>
    <w:basedOn w:val="1"/>
    <w:qFormat/>
    <w:uiPriority w:val="99"/>
    <w:pPr>
      <w:widowControl w:val="0"/>
      <w:adjustRightInd w:val="0"/>
      <w:spacing w:line="300" w:lineRule="auto"/>
      <w:ind w:firstLine="425"/>
      <w:jc w:val="both"/>
    </w:pPr>
    <w:rPr>
      <w:sz w:val="24"/>
    </w:rPr>
  </w:style>
  <w:style w:type="paragraph" w:customStyle="1" w:styleId="149">
    <w:name w:val="编号"/>
    <w:basedOn w:val="1"/>
    <w:qFormat/>
    <w:uiPriority w:val="99"/>
    <w:pPr>
      <w:widowControl w:val="0"/>
      <w:numPr>
        <w:ilvl w:val="4"/>
        <w:numId w:val="4"/>
      </w:numPr>
      <w:spacing w:afterLines="50" w:line="300" w:lineRule="auto"/>
    </w:pPr>
    <w:rPr>
      <w:rFonts w:eastAsia="仿宋_GB2312"/>
      <w:spacing w:val="20"/>
      <w:kern w:val="2"/>
    </w:rPr>
  </w:style>
  <w:style w:type="paragraph" w:customStyle="1" w:styleId="150">
    <w:name w:val="标准正文"/>
    <w:basedOn w:val="1"/>
    <w:qFormat/>
    <w:uiPriority w:val="99"/>
    <w:pPr>
      <w:widowControl w:val="0"/>
      <w:snapToGrid w:val="0"/>
      <w:spacing w:line="312" w:lineRule="auto"/>
      <w:ind w:firstLine="482"/>
      <w:jc w:val="both"/>
    </w:pPr>
    <w:rPr>
      <w:kern w:val="2"/>
      <w:sz w:val="24"/>
    </w:rPr>
  </w:style>
  <w:style w:type="paragraph" w:customStyle="1" w:styleId="151">
    <w:name w:val="xl4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2"/>
      <w:szCs w:val="22"/>
    </w:rPr>
  </w:style>
  <w:style w:type="paragraph" w:customStyle="1" w:styleId="152">
    <w:name w:val="Char Char Char"/>
    <w:basedOn w:val="1"/>
    <w:qFormat/>
    <w:uiPriority w:val="99"/>
    <w:pPr>
      <w:widowControl w:val="0"/>
      <w:jc w:val="both"/>
    </w:pPr>
    <w:rPr>
      <w:rFonts w:ascii="Tahoma" w:hAnsi="Tahoma"/>
      <w:kern w:val="2"/>
      <w:sz w:val="24"/>
    </w:rPr>
  </w:style>
  <w:style w:type="paragraph" w:customStyle="1" w:styleId="153">
    <w:name w:val="Char Char Char Char Char Char Char Char Char Char"/>
    <w:basedOn w:val="17"/>
    <w:qFormat/>
    <w:uiPriority w:val="99"/>
    <w:pPr>
      <w:widowControl w:val="0"/>
      <w:jc w:val="both"/>
    </w:pPr>
    <w:rPr>
      <w:kern w:val="2"/>
      <w:szCs w:val="24"/>
    </w:rPr>
  </w:style>
  <w:style w:type="paragraph" w:customStyle="1" w:styleId="154">
    <w:name w:val="有缩进正文"/>
    <w:basedOn w:val="1"/>
    <w:qFormat/>
    <w:uiPriority w:val="99"/>
    <w:pPr>
      <w:widowControl w:val="0"/>
      <w:spacing w:beforeLines="50" w:afterLines="50" w:line="240" w:lineRule="atLeast"/>
      <w:ind w:firstLine="200" w:firstLineChars="200"/>
      <w:jc w:val="both"/>
    </w:pPr>
    <w:rPr>
      <w:rFonts w:ascii="Arial" w:hAnsi="Arial"/>
      <w:kern w:val="2"/>
      <w:sz w:val="24"/>
      <w:szCs w:val="24"/>
    </w:rPr>
  </w:style>
  <w:style w:type="paragraph" w:customStyle="1" w:styleId="155">
    <w:name w:val="xl56"/>
    <w:basedOn w:val="1"/>
    <w:qFormat/>
    <w:uiPriority w:val="99"/>
    <w:pPr>
      <w:spacing w:before="100" w:beforeAutospacing="1" w:after="100" w:afterAutospacing="1"/>
      <w:jc w:val="center"/>
    </w:pPr>
    <w:rPr>
      <w:rFonts w:ascii="宋体" w:hAnsi="宋体" w:cs="宋体"/>
      <w:sz w:val="24"/>
      <w:szCs w:val="24"/>
    </w:rPr>
  </w:style>
  <w:style w:type="paragraph" w:customStyle="1" w:styleId="156">
    <w:name w:val="标题3"/>
    <w:basedOn w:val="6"/>
    <w:qFormat/>
    <w:uiPriority w:val="99"/>
    <w:pPr>
      <w:keepNext/>
      <w:keepLines/>
      <w:tabs>
        <w:tab w:val="clear" w:pos="851"/>
      </w:tabs>
      <w:autoSpaceDE/>
      <w:autoSpaceDN/>
      <w:adjustRightInd/>
      <w:snapToGrid/>
      <w:spacing w:before="260" w:after="260" w:line="415" w:lineRule="auto"/>
      <w:ind w:left="210" w:leftChars="100" w:right="210" w:rightChars="100" w:firstLine="0"/>
      <w:jc w:val="left"/>
    </w:pPr>
    <w:rPr>
      <w:rFonts w:hAnsi="宋体"/>
      <w:b/>
      <w:bCs/>
      <w:sz w:val="32"/>
      <w:szCs w:val="32"/>
    </w:rPr>
  </w:style>
  <w:style w:type="paragraph" w:customStyle="1" w:styleId="157">
    <w:name w:val="段落1"/>
    <w:basedOn w:val="1"/>
    <w:qFormat/>
    <w:uiPriority w:val="99"/>
    <w:pPr>
      <w:widowControl w:val="0"/>
      <w:autoSpaceDE w:val="0"/>
      <w:autoSpaceDN w:val="0"/>
      <w:adjustRightInd w:val="0"/>
      <w:spacing w:before="105" w:after="120"/>
      <w:jc w:val="both"/>
    </w:pPr>
    <w:rPr>
      <w:rFonts w:ascii="宋体" w:eastAsia="幼圆"/>
    </w:rPr>
  </w:style>
  <w:style w:type="paragraph" w:customStyle="1" w:styleId="158">
    <w:name w:val="Char Char Char1 Char"/>
    <w:basedOn w:val="1"/>
    <w:qFormat/>
    <w:uiPriority w:val="99"/>
    <w:pPr>
      <w:spacing w:after="160" w:line="240" w:lineRule="exact"/>
    </w:pPr>
    <w:rPr>
      <w:rFonts w:ascii="Verdana" w:hAnsi="Verdana" w:eastAsia="仿宋_GB2312"/>
      <w:sz w:val="24"/>
      <w:lang w:eastAsia="en-US"/>
    </w:rPr>
  </w:style>
  <w:style w:type="paragraph" w:customStyle="1" w:styleId="159">
    <w:name w:val="style40"/>
    <w:basedOn w:val="1"/>
    <w:qFormat/>
    <w:uiPriority w:val="99"/>
    <w:pPr>
      <w:spacing w:before="100" w:beforeAutospacing="1" w:after="100" w:afterAutospacing="1"/>
    </w:pPr>
    <w:rPr>
      <w:rFonts w:ascii="宋体" w:hAnsi="宋体" w:cs="宋体"/>
      <w:sz w:val="24"/>
    </w:rPr>
  </w:style>
  <w:style w:type="paragraph" w:customStyle="1" w:styleId="160">
    <w:name w:val="F正文"/>
    <w:basedOn w:val="1"/>
    <w:qFormat/>
    <w:uiPriority w:val="99"/>
    <w:pPr>
      <w:widowControl w:val="0"/>
      <w:spacing w:line="440" w:lineRule="exact"/>
      <w:ind w:left="105" w:leftChars="50" w:firstLine="480" w:firstLineChars="200"/>
      <w:jc w:val="both"/>
    </w:pPr>
    <w:rPr>
      <w:rFonts w:ascii="宋体" w:hAnsi="宋体"/>
      <w:kern w:val="2"/>
      <w:sz w:val="24"/>
    </w:rPr>
  </w:style>
  <w:style w:type="paragraph" w:customStyle="1" w:styleId="161">
    <w:name w:val="1.1 标题"/>
    <w:basedOn w:val="3"/>
    <w:qFormat/>
    <w:uiPriority w:val="99"/>
    <w:pPr>
      <w:tabs>
        <w:tab w:val="left" w:pos="960"/>
      </w:tabs>
      <w:adjustRightInd/>
      <w:snapToGrid/>
      <w:spacing w:before="120" w:after="120" w:line="240" w:lineRule="auto"/>
      <w:ind w:left="960" w:hanging="360"/>
      <w:jc w:val="left"/>
      <w:outlineLvl w:val="1"/>
    </w:pPr>
    <w:rPr>
      <w:rFonts w:ascii="Times New Roman" w:hAnsi="Times New Roman" w:eastAsia="黑体"/>
      <w:sz w:val="28"/>
    </w:rPr>
  </w:style>
  <w:style w:type="paragraph" w:customStyle="1" w:styleId="162">
    <w:name w:val="正文段"/>
    <w:basedOn w:val="1"/>
    <w:qFormat/>
    <w:uiPriority w:val="99"/>
    <w:pPr>
      <w:widowControl w:val="0"/>
      <w:autoSpaceDE w:val="0"/>
      <w:autoSpaceDN w:val="0"/>
      <w:adjustRightInd w:val="0"/>
      <w:spacing w:before="100" w:after="100" w:line="300" w:lineRule="auto"/>
      <w:ind w:firstLine="527"/>
    </w:pPr>
    <w:rPr>
      <w:w w:val="105"/>
      <w:sz w:val="24"/>
    </w:rPr>
  </w:style>
  <w:style w:type="paragraph" w:customStyle="1" w:styleId="163">
    <w:name w:val="Char Char Char Char1 Char Char Char Char"/>
    <w:basedOn w:val="1"/>
    <w:qFormat/>
    <w:uiPriority w:val="99"/>
    <w:pPr>
      <w:spacing w:after="160" w:line="240" w:lineRule="exact"/>
    </w:pPr>
    <w:rPr>
      <w:rFonts w:ascii="Verdana" w:hAnsi="Verdana"/>
      <w:lang w:eastAsia="en-US"/>
    </w:rPr>
  </w:style>
  <w:style w:type="paragraph" w:customStyle="1" w:styleId="164">
    <w:name w:val="正文内容"/>
    <w:basedOn w:val="1"/>
    <w:qFormat/>
    <w:uiPriority w:val="99"/>
    <w:pPr>
      <w:widowControl w:val="0"/>
      <w:jc w:val="both"/>
    </w:pPr>
    <w:rPr>
      <w:rFonts w:ascii="Arial" w:hAnsi="Arial"/>
      <w:spacing w:val="-12"/>
      <w:kern w:val="2"/>
    </w:rPr>
  </w:style>
  <w:style w:type="paragraph" w:customStyle="1" w:styleId="165">
    <w:name w:val="正文文本缩进1"/>
    <w:basedOn w:val="1"/>
    <w:qFormat/>
    <w:uiPriority w:val="99"/>
    <w:pPr>
      <w:widowControl w:val="0"/>
      <w:ind w:firstLine="830" w:firstLineChars="352"/>
      <w:jc w:val="both"/>
    </w:pPr>
    <w:rPr>
      <w:rFonts w:ascii="仿宋_GB2312" w:eastAsia="仿宋_GB2312"/>
      <w:kern w:val="2"/>
      <w:sz w:val="32"/>
    </w:rPr>
  </w:style>
  <w:style w:type="paragraph" w:customStyle="1" w:styleId="166">
    <w:name w:val="reader-word-layer reader-word-s1-22"/>
    <w:basedOn w:val="1"/>
    <w:qFormat/>
    <w:uiPriority w:val="99"/>
    <w:pPr>
      <w:spacing w:before="100" w:beforeAutospacing="1" w:after="100" w:afterAutospacing="1"/>
    </w:pPr>
    <w:rPr>
      <w:rFonts w:ascii="宋体" w:hAnsi="宋体" w:cs="宋体"/>
      <w:sz w:val="24"/>
      <w:szCs w:val="24"/>
    </w:rPr>
  </w:style>
  <w:style w:type="paragraph" w:customStyle="1" w:styleId="167">
    <w:name w:val="font10"/>
    <w:basedOn w:val="1"/>
    <w:qFormat/>
    <w:uiPriority w:val="99"/>
    <w:pPr>
      <w:spacing w:before="100" w:beforeAutospacing="1" w:after="100" w:afterAutospacing="1"/>
    </w:pPr>
    <w:rPr>
      <w:rFonts w:ascii="宋体" w:hAnsi="宋体" w:cs="Arial Unicode MS"/>
      <w:sz w:val="24"/>
      <w:szCs w:val="24"/>
    </w:rPr>
  </w:style>
  <w:style w:type="paragraph" w:customStyle="1" w:styleId="168">
    <w:name w:val="样式 首行缩进:  2 字符 段后: 0.5 行"/>
    <w:basedOn w:val="1"/>
    <w:qFormat/>
    <w:uiPriority w:val="99"/>
    <w:pPr>
      <w:widowControl w:val="0"/>
      <w:numPr>
        <w:ilvl w:val="0"/>
        <w:numId w:val="4"/>
      </w:numPr>
      <w:tabs>
        <w:tab w:val="left" w:pos="980"/>
      </w:tabs>
      <w:spacing w:line="360" w:lineRule="auto"/>
    </w:pPr>
    <w:rPr>
      <w:rFonts w:eastAsia="仿宋_GB2312" w:cs="宋体"/>
      <w:kern w:val="2"/>
      <w:sz w:val="28"/>
    </w:rPr>
  </w:style>
  <w:style w:type="character" w:customStyle="1" w:styleId="169">
    <w:name w:val="1.正文 Char"/>
    <w:link w:val="170"/>
    <w:qFormat/>
    <w:locked/>
    <w:uiPriority w:val="99"/>
    <w:rPr>
      <w:rFonts w:ascii="Tahoma" w:hAnsi="Tahoma"/>
      <w:color w:val="000000"/>
      <w:sz w:val="18"/>
    </w:rPr>
  </w:style>
  <w:style w:type="paragraph" w:customStyle="1" w:styleId="170">
    <w:name w:val="1.正文"/>
    <w:basedOn w:val="1"/>
    <w:next w:val="1"/>
    <w:link w:val="169"/>
    <w:qFormat/>
    <w:uiPriority w:val="99"/>
    <w:pPr>
      <w:spacing w:line="360" w:lineRule="auto"/>
      <w:jc w:val="both"/>
    </w:pPr>
    <w:rPr>
      <w:rFonts w:ascii="Tahoma" w:hAnsi="Tahoma"/>
      <w:color w:val="000000"/>
      <w:sz w:val="18"/>
    </w:rPr>
  </w:style>
  <w:style w:type="paragraph" w:customStyle="1" w:styleId="171">
    <w:name w:val="正文（首行缩进2字符）"/>
    <w:basedOn w:val="1"/>
    <w:qFormat/>
    <w:uiPriority w:val="99"/>
    <w:pPr>
      <w:widowControl w:val="0"/>
      <w:spacing w:line="360" w:lineRule="auto"/>
      <w:ind w:firstLine="480" w:firstLineChars="200"/>
      <w:jc w:val="both"/>
    </w:pPr>
    <w:rPr>
      <w:kern w:val="2"/>
      <w:sz w:val="24"/>
      <w:szCs w:val="24"/>
    </w:rPr>
  </w:style>
  <w:style w:type="character" w:customStyle="1" w:styleId="172">
    <w:name w:val="方案正文 Char"/>
    <w:link w:val="173"/>
    <w:qFormat/>
    <w:locked/>
    <w:uiPriority w:val="99"/>
    <w:rPr>
      <w:rFonts w:ascii="宋体" w:hAnsi="宋体" w:eastAsia="宋体"/>
      <w:sz w:val="28"/>
    </w:rPr>
  </w:style>
  <w:style w:type="paragraph" w:customStyle="1" w:styleId="173">
    <w:name w:val="方案正文"/>
    <w:basedOn w:val="1"/>
    <w:link w:val="172"/>
    <w:qFormat/>
    <w:uiPriority w:val="99"/>
    <w:pPr>
      <w:widowControl w:val="0"/>
      <w:spacing w:before="100" w:line="360" w:lineRule="auto"/>
      <w:ind w:firstLine="480" w:firstLineChars="200"/>
      <w:jc w:val="both"/>
    </w:pPr>
    <w:rPr>
      <w:rFonts w:ascii="宋体" w:hAnsi="宋体"/>
      <w:sz w:val="28"/>
    </w:rPr>
  </w:style>
  <w:style w:type="paragraph" w:customStyle="1" w:styleId="174">
    <w:name w:val="2册标题1"/>
    <w:basedOn w:val="1"/>
    <w:next w:val="1"/>
    <w:qFormat/>
    <w:uiPriority w:val="99"/>
    <w:pPr>
      <w:widowControl w:val="0"/>
      <w:spacing w:beforeLines="50" w:afterLines="50"/>
      <w:jc w:val="center"/>
      <w:outlineLvl w:val="0"/>
    </w:pPr>
    <w:rPr>
      <w:rFonts w:ascii="Arial" w:hAnsi="Arial" w:eastAsia="黑体"/>
      <w:kern w:val="2"/>
      <w:sz w:val="36"/>
      <w:szCs w:val="32"/>
    </w:rPr>
  </w:style>
  <w:style w:type="paragraph" w:customStyle="1" w:styleId="175">
    <w:name w:val="xl2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2"/>
      <w:szCs w:val="22"/>
    </w:rPr>
  </w:style>
  <w:style w:type="paragraph" w:customStyle="1" w:styleId="176">
    <w:name w:val="Char1 Char Char Char1"/>
    <w:basedOn w:val="1"/>
    <w:qFormat/>
    <w:uiPriority w:val="99"/>
    <w:pPr>
      <w:spacing w:after="160" w:line="240" w:lineRule="exact"/>
    </w:pPr>
  </w:style>
  <w:style w:type="paragraph" w:customStyle="1" w:styleId="177">
    <w:name w:val="2"/>
    <w:basedOn w:val="1"/>
    <w:next w:val="27"/>
    <w:qFormat/>
    <w:uiPriority w:val="99"/>
    <w:pPr>
      <w:widowControl w:val="0"/>
      <w:jc w:val="both"/>
    </w:pPr>
    <w:rPr>
      <w:rFonts w:ascii="宋体" w:hAnsi="Courier New"/>
      <w:kern w:val="2"/>
    </w:rPr>
  </w:style>
  <w:style w:type="paragraph" w:customStyle="1" w:styleId="178">
    <w:name w:val="1"/>
    <w:basedOn w:val="1"/>
    <w:next w:val="2"/>
    <w:qFormat/>
    <w:uiPriority w:val="99"/>
    <w:pPr>
      <w:spacing w:after="120"/>
    </w:pPr>
  </w:style>
  <w:style w:type="paragraph" w:customStyle="1" w:styleId="179">
    <w:name w:val="font7"/>
    <w:basedOn w:val="1"/>
    <w:qFormat/>
    <w:uiPriority w:val="99"/>
    <w:pPr>
      <w:spacing w:before="100" w:beforeAutospacing="1" w:after="100" w:afterAutospacing="1"/>
    </w:pPr>
    <w:rPr>
      <w:rFonts w:ascii="宋体" w:hAnsi="宋体" w:cs="Arial Unicode MS"/>
      <w:sz w:val="18"/>
      <w:szCs w:val="18"/>
    </w:rPr>
  </w:style>
  <w:style w:type="paragraph" w:customStyle="1" w:styleId="180">
    <w:name w:val="Char Char Char1 Char Char Char Char Char Char Char Char Char Char Char Char Char"/>
    <w:basedOn w:val="17"/>
    <w:qFormat/>
    <w:uiPriority w:val="99"/>
    <w:pPr>
      <w:widowControl w:val="0"/>
      <w:jc w:val="both"/>
    </w:pPr>
    <w:rPr>
      <w:rFonts w:ascii="Tahoma" w:hAnsi="Tahoma" w:cs="宋体"/>
      <w:kern w:val="2"/>
      <w:sz w:val="24"/>
      <w:szCs w:val="24"/>
    </w:rPr>
  </w:style>
  <w:style w:type="paragraph" w:customStyle="1" w:styleId="181">
    <w:name w:val="样式 标题 1H1h1章l1I11st levelHeading 01Header 1Header1Sec...2"/>
    <w:basedOn w:val="3"/>
    <w:qFormat/>
    <w:uiPriority w:val="99"/>
    <w:pPr>
      <w:tabs>
        <w:tab w:val="clear" w:pos="840"/>
      </w:tabs>
      <w:adjustRightInd/>
      <w:snapToGrid/>
      <w:spacing w:before="340" w:after="330" w:line="576" w:lineRule="auto"/>
    </w:pPr>
    <w:rPr>
      <w:rFonts w:ascii="Times New Roman" w:hAnsi="Times New Roman" w:eastAsia="黑体" w:cs="宋体"/>
      <w:b w:val="0"/>
      <w:bCs/>
      <w:sz w:val="36"/>
    </w:rPr>
  </w:style>
  <w:style w:type="paragraph" w:customStyle="1" w:styleId="182">
    <w:name w:val="descstyle"/>
    <w:basedOn w:val="1"/>
    <w:qFormat/>
    <w:uiPriority w:val="99"/>
    <w:pPr>
      <w:spacing w:before="100" w:beforeAutospacing="1" w:after="100" w:afterAutospacing="1"/>
    </w:pPr>
    <w:rPr>
      <w:rFonts w:ascii="宋体" w:hAnsi="宋体" w:cs="宋体"/>
      <w:sz w:val="24"/>
      <w:szCs w:val="24"/>
    </w:rPr>
  </w:style>
  <w:style w:type="paragraph" w:customStyle="1" w:styleId="183">
    <w:name w:val="段"/>
    <w:link w:val="317"/>
    <w:qFormat/>
    <w:uiPriority w:val="99"/>
    <w:pPr>
      <w:autoSpaceDE w:val="0"/>
      <w:autoSpaceDN w:val="0"/>
      <w:ind w:firstLine="200" w:firstLineChars="200"/>
      <w:jc w:val="both"/>
    </w:pPr>
    <w:rPr>
      <w:rFonts w:ascii="宋体" w:hAnsi="Times New Roman" w:eastAsia="宋体" w:cs="Times New Roman"/>
      <w:kern w:val="2"/>
      <w:sz w:val="22"/>
      <w:szCs w:val="22"/>
      <w:lang w:val="en-US" w:eastAsia="zh-CN" w:bidi="ar-SA"/>
    </w:rPr>
  </w:style>
  <w:style w:type="paragraph" w:customStyle="1" w:styleId="184">
    <w:name w:val="图表脚注"/>
    <w:next w:val="183"/>
    <w:qFormat/>
    <w:uiPriority w:val="99"/>
    <w:pPr>
      <w:ind w:left="300" w:leftChars="200" w:hanging="100" w:hangingChars="100"/>
      <w:jc w:val="both"/>
    </w:pPr>
    <w:rPr>
      <w:rFonts w:ascii="宋体" w:hAnsi="Times New Roman" w:eastAsia="宋体" w:cs="Times New Roman"/>
      <w:sz w:val="18"/>
      <w:lang w:val="en-US" w:eastAsia="zh-CN" w:bidi="ar-SA"/>
    </w:rPr>
  </w:style>
  <w:style w:type="paragraph" w:customStyle="1" w:styleId="185">
    <w:name w:val="标题51 Char Char Char"/>
    <w:basedOn w:val="8"/>
    <w:next w:val="8"/>
    <w:qFormat/>
    <w:uiPriority w:val="99"/>
    <w:pPr>
      <w:keepLines/>
      <w:tabs>
        <w:tab w:val="left" w:pos="1307"/>
        <w:tab w:val="clear" w:pos="1008"/>
      </w:tabs>
      <w:autoSpaceDE/>
      <w:autoSpaceDN/>
      <w:adjustRightInd/>
      <w:snapToGrid/>
      <w:spacing w:beforeLines="50" w:after="120" w:line="360" w:lineRule="auto"/>
      <w:ind w:left="1307" w:hanging="992"/>
    </w:pPr>
    <w:rPr>
      <w:rFonts w:ascii="Tahoma" w:hAnsi="Tahoma" w:eastAsia="黑体"/>
      <w:b w:val="0"/>
      <w:bCs/>
      <w:kern w:val="2"/>
      <w:sz w:val="24"/>
    </w:rPr>
  </w:style>
  <w:style w:type="paragraph" w:customStyle="1" w:styleId="186">
    <w:name w:val="标题 31"/>
    <w:basedOn w:val="1"/>
    <w:next w:val="1"/>
    <w:qFormat/>
    <w:uiPriority w:val="99"/>
    <w:pPr>
      <w:keepNext/>
      <w:keepLines/>
      <w:widowControl w:val="0"/>
      <w:spacing w:before="260" w:after="260" w:line="408" w:lineRule="auto"/>
      <w:jc w:val="both"/>
      <w:outlineLvl w:val="2"/>
    </w:pPr>
    <w:rPr>
      <w:rFonts w:ascii="宋体" w:hAnsi="宋体"/>
      <w:b/>
      <w:kern w:val="2"/>
      <w:sz w:val="32"/>
    </w:rPr>
  </w:style>
  <w:style w:type="paragraph" w:customStyle="1" w:styleId="187">
    <w:name w:val="样式  + 行距: 1.5 倍行距"/>
    <w:basedOn w:val="1"/>
    <w:next w:val="2"/>
    <w:qFormat/>
    <w:uiPriority w:val="99"/>
    <w:pPr>
      <w:widowControl w:val="0"/>
      <w:ind w:left="31"/>
      <w:jc w:val="both"/>
    </w:pPr>
    <w:rPr>
      <w:rFonts w:ascii="楷体_GB2312" w:hAnsi="宋体" w:eastAsia="楷体_GB2312"/>
      <w:b/>
      <w:bCs/>
      <w:kern w:val="2"/>
      <w:sz w:val="24"/>
      <w:szCs w:val="24"/>
    </w:rPr>
  </w:style>
  <w:style w:type="paragraph" w:customStyle="1" w:styleId="188">
    <w:name w:val="text51"/>
    <w:basedOn w:val="1"/>
    <w:qFormat/>
    <w:uiPriority w:val="99"/>
    <w:rPr>
      <w:rFonts w:ascii="宋体" w:hAnsi="宋体" w:cs="宋体"/>
      <w:sz w:val="24"/>
      <w:szCs w:val="24"/>
    </w:rPr>
  </w:style>
  <w:style w:type="paragraph" w:customStyle="1" w:styleId="189">
    <w:name w:val="办公自动化专用标题"/>
    <w:basedOn w:val="51"/>
    <w:qFormat/>
    <w:uiPriority w:val="99"/>
    <w:pPr>
      <w:tabs>
        <w:tab w:val="clear" w:pos="420"/>
      </w:tabs>
      <w:adjustRightInd/>
      <w:spacing w:before="240" w:after="60" w:line="560" w:lineRule="atLeast"/>
      <w:ind w:left="0" w:firstLine="0"/>
      <w:jc w:val="center"/>
      <w:outlineLvl w:val="0"/>
    </w:pPr>
    <w:rPr>
      <w:rFonts w:ascii="宋体" w:hAnsi="Arial" w:eastAsia="宋体"/>
      <w:kern w:val="2"/>
      <w:sz w:val="44"/>
    </w:rPr>
  </w:style>
  <w:style w:type="paragraph" w:customStyle="1" w:styleId="190">
    <w:name w:val="样式 标题 1H1h1章l1I11st levelHeading 01Header 1Header1Sec..."/>
    <w:basedOn w:val="3"/>
    <w:qFormat/>
    <w:uiPriority w:val="99"/>
    <w:pPr>
      <w:tabs>
        <w:tab w:val="clear" w:pos="840"/>
      </w:tabs>
      <w:adjustRightInd/>
      <w:snapToGrid/>
      <w:spacing w:before="340" w:after="330" w:line="576" w:lineRule="auto"/>
    </w:pPr>
    <w:rPr>
      <w:rFonts w:ascii="黑体" w:hAnsi="黑体" w:eastAsia="黑体" w:cs="宋体"/>
      <w:b w:val="0"/>
      <w:bCs/>
      <w:sz w:val="36"/>
    </w:rPr>
  </w:style>
  <w:style w:type="paragraph" w:customStyle="1" w:styleId="191">
    <w:name w:val="xl91"/>
    <w:basedOn w:val="1"/>
    <w:qFormat/>
    <w:uiPriority w:val="99"/>
    <w:pPr>
      <w:pBdr>
        <w:top w:val="single" w:color="auto" w:sz="4" w:space="0"/>
        <w:left w:val="single" w:color="auto" w:sz="8" w:space="0"/>
        <w:bottom w:val="single" w:color="auto" w:sz="4" w:space="0"/>
      </w:pBdr>
      <w:spacing w:before="100" w:beforeAutospacing="1" w:after="100" w:afterAutospacing="1"/>
      <w:jc w:val="center"/>
    </w:pPr>
    <w:rPr>
      <w:rFonts w:ascii="宋体" w:hAnsi="宋体" w:cs="Arial Unicode MS"/>
      <w:b/>
      <w:bCs/>
      <w:color w:val="000000"/>
      <w:sz w:val="16"/>
      <w:szCs w:val="16"/>
    </w:rPr>
  </w:style>
  <w:style w:type="paragraph" w:customStyle="1" w:styleId="192">
    <w:name w:val="表格字"/>
    <w:basedOn w:val="1"/>
    <w:qFormat/>
    <w:uiPriority w:val="99"/>
    <w:pPr>
      <w:widowControl w:val="0"/>
      <w:adjustRightInd w:val="0"/>
      <w:jc w:val="center"/>
    </w:pPr>
    <w:rPr>
      <w:rFonts w:ascii="宋体"/>
      <w:kern w:val="2"/>
      <w:sz w:val="24"/>
    </w:rPr>
  </w:style>
  <w:style w:type="paragraph" w:customStyle="1" w:styleId="193">
    <w:name w:val="xl6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94">
    <w:name w:val="cnfont"/>
    <w:basedOn w:val="1"/>
    <w:qFormat/>
    <w:uiPriority w:val="99"/>
    <w:pPr>
      <w:spacing w:before="100" w:beforeAutospacing="1" w:after="100" w:afterAutospacing="1"/>
    </w:pPr>
    <w:rPr>
      <w:rFonts w:ascii="宋体" w:hAnsi="宋体"/>
      <w:color w:val="000000"/>
      <w:sz w:val="24"/>
      <w:szCs w:val="24"/>
    </w:rPr>
  </w:style>
  <w:style w:type="paragraph" w:customStyle="1" w:styleId="195">
    <w:name w:val="样式5"/>
    <w:basedOn w:val="115"/>
    <w:next w:val="115"/>
    <w:qFormat/>
    <w:uiPriority w:val="99"/>
  </w:style>
  <w:style w:type="paragraph" w:customStyle="1" w:styleId="196">
    <w:name w:val="封面2"/>
    <w:basedOn w:val="36"/>
    <w:qFormat/>
    <w:uiPriority w:val="99"/>
    <w:pPr>
      <w:widowControl w:val="0"/>
      <w:tabs>
        <w:tab w:val="left" w:pos="840"/>
        <w:tab w:val="right" w:leader="dot" w:pos="8296"/>
        <w:tab w:val="clear" w:pos="9499"/>
      </w:tabs>
      <w:spacing w:before="120" w:after="120"/>
      <w:ind w:firstLine="425"/>
      <w:jc w:val="center"/>
    </w:pPr>
    <w:rPr>
      <w:rFonts w:ascii="Times New Roman" w:hAnsi="Times New Roman" w:eastAsia="黑体" w:cs="Times New Roman"/>
      <w:b w:val="0"/>
      <w:bCs w:val="0"/>
      <w:caps/>
      <w:kern w:val="2"/>
      <w:sz w:val="52"/>
      <w:szCs w:val="24"/>
    </w:rPr>
  </w:style>
  <w:style w:type="paragraph" w:customStyle="1" w:styleId="197">
    <w:name w:val="xl94"/>
    <w:basedOn w:val="1"/>
    <w:qFormat/>
    <w:uiPriority w:val="99"/>
    <w:pPr>
      <w:pBdr>
        <w:top w:val="single" w:color="auto" w:sz="4" w:space="0"/>
        <w:left w:val="single" w:color="auto" w:sz="4" w:space="0"/>
        <w:bottom w:val="single" w:color="auto" w:sz="8" w:space="0"/>
        <w:right w:val="single" w:color="auto" w:sz="4" w:space="0"/>
      </w:pBdr>
      <w:spacing w:before="100" w:beforeAutospacing="1" w:after="100" w:afterAutospacing="1"/>
    </w:pPr>
    <w:rPr>
      <w:rFonts w:ascii="Arial Unicode MS" w:hAnsi="Arial Unicode MS" w:cs="Arial Unicode MS"/>
      <w:sz w:val="16"/>
      <w:szCs w:val="16"/>
    </w:rPr>
  </w:style>
  <w:style w:type="paragraph" w:customStyle="1" w:styleId="198">
    <w:name w:val="bt"/>
    <w:basedOn w:val="1"/>
    <w:next w:val="2"/>
    <w:qFormat/>
    <w:uiPriority w:val="99"/>
    <w:pPr>
      <w:widowControl w:val="0"/>
      <w:spacing w:after="120"/>
      <w:jc w:val="both"/>
    </w:pPr>
    <w:rPr>
      <w:kern w:val="2"/>
      <w:szCs w:val="24"/>
    </w:rPr>
  </w:style>
  <w:style w:type="character" w:customStyle="1" w:styleId="199">
    <w:name w:val="样式4 Char Char"/>
    <w:link w:val="200"/>
    <w:qFormat/>
    <w:locked/>
    <w:uiPriority w:val="99"/>
    <w:rPr>
      <w:rFonts w:ascii="宋体" w:hAnsi="宋体" w:eastAsia="宋体"/>
      <w:color w:val="000000"/>
      <w:sz w:val="24"/>
    </w:rPr>
  </w:style>
  <w:style w:type="paragraph" w:customStyle="1" w:styleId="200">
    <w:name w:val="样式4 Char"/>
    <w:basedOn w:val="1"/>
    <w:link w:val="199"/>
    <w:qFormat/>
    <w:uiPriority w:val="99"/>
    <w:pPr>
      <w:spacing w:beforeLines="50" w:afterLines="50" w:line="360" w:lineRule="auto"/>
      <w:ind w:firstLine="480" w:firstLineChars="200"/>
    </w:pPr>
    <w:rPr>
      <w:rFonts w:ascii="宋体" w:hAnsi="宋体"/>
      <w:color w:val="000000"/>
      <w:sz w:val="24"/>
    </w:rPr>
  </w:style>
  <w:style w:type="paragraph" w:customStyle="1" w:styleId="201">
    <w:name w:val="标题4"/>
    <w:basedOn w:val="1"/>
    <w:qFormat/>
    <w:uiPriority w:val="99"/>
    <w:pPr>
      <w:snapToGrid w:val="0"/>
      <w:spacing w:line="500" w:lineRule="exact"/>
      <w:ind w:firstLine="641"/>
    </w:pPr>
    <w:rPr>
      <w:rFonts w:ascii="Verdana" w:hAnsi="Verdana" w:eastAsia="黑体"/>
      <w:b/>
      <w:sz w:val="32"/>
      <w:szCs w:val="32"/>
      <w:lang w:eastAsia="en-US"/>
    </w:rPr>
  </w:style>
  <w:style w:type="paragraph" w:customStyle="1" w:styleId="202">
    <w:name w:val="xl6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0"/>
    </w:rPr>
  </w:style>
  <w:style w:type="paragraph" w:customStyle="1" w:styleId="203">
    <w:name w:val="Char Char Char Char1"/>
    <w:basedOn w:val="1"/>
    <w:qFormat/>
    <w:uiPriority w:val="99"/>
    <w:pPr>
      <w:spacing w:after="160" w:line="240" w:lineRule="exact"/>
    </w:pPr>
    <w:rPr>
      <w:rFonts w:ascii="Verdana" w:hAnsi="Verdana"/>
      <w:lang w:eastAsia="en-US"/>
    </w:rPr>
  </w:style>
  <w:style w:type="paragraph" w:customStyle="1" w:styleId="204">
    <w:name w:val="Char Char Char Char"/>
    <w:basedOn w:val="1"/>
    <w:qFormat/>
    <w:uiPriority w:val="99"/>
    <w:pPr>
      <w:widowControl w:val="0"/>
      <w:jc w:val="both"/>
    </w:pPr>
    <w:rPr>
      <w:rFonts w:ascii="Tahoma" w:hAnsi="Tahoma"/>
      <w:kern w:val="2"/>
      <w:sz w:val="24"/>
      <w:szCs w:val="24"/>
    </w:rPr>
  </w:style>
  <w:style w:type="character" w:customStyle="1" w:styleId="205">
    <w:name w:val="样式 正文缩进 + 首行缩进:  2 字符 Char"/>
    <w:link w:val="206"/>
    <w:qFormat/>
    <w:locked/>
    <w:uiPriority w:val="99"/>
    <w:rPr>
      <w:sz w:val="24"/>
    </w:rPr>
  </w:style>
  <w:style w:type="paragraph" w:customStyle="1" w:styleId="206">
    <w:name w:val="样式 正文缩进 + 首行缩进:  2 字符"/>
    <w:basedOn w:val="5"/>
    <w:link w:val="205"/>
    <w:qFormat/>
    <w:uiPriority w:val="99"/>
    <w:pPr>
      <w:widowControl w:val="0"/>
      <w:spacing w:afterLines="50" w:line="360" w:lineRule="auto"/>
      <w:ind w:left="0" w:firstLine="200" w:firstLineChars="200"/>
    </w:pPr>
    <w:rPr>
      <w:rFonts w:ascii="Calibri" w:hAnsi="Calibri"/>
      <w:sz w:val="24"/>
    </w:rPr>
  </w:style>
  <w:style w:type="paragraph" w:customStyle="1" w:styleId="207">
    <w:name w:val="样式 USE 1 + 行距: 单倍行距"/>
    <w:basedOn w:val="1"/>
    <w:qFormat/>
    <w:uiPriority w:val="99"/>
    <w:pPr>
      <w:widowControl w:val="0"/>
      <w:numPr>
        <w:ilvl w:val="0"/>
        <w:numId w:val="5"/>
      </w:numPr>
      <w:spacing w:line="180" w:lineRule="atLeast"/>
    </w:pPr>
    <w:rPr>
      <w:rFonts w:ascii="宋体" w:hAnsi="宋体" w:cs="宋体"/>
      <w:b/>
      <w:bCs/>
      <w:kern w:val="2"/>
      <w:sz w:val="24"/>
    </w:rPr>
  </w:style>
  <w:style w:type="paragraph" w:customStyle="1" w:styleId="208">
    <w:name w:val="xl105"/>
    <w:basedOn w:val="1"/>
    <w:qFormat/>
    <w:uiPriority w:val="99"/>
    <w:pPr>
      <w:pBdr>
        <w:bottom w:val="single" w:color="auto" w:sz="8" w:space="0"/>
      </w:pBdr>
      <w:spacing w:before="100" w:beforeAutospacing="1" w:after="100" w:afterAutospacing="1"/>
      <w:jc w:val="center"/>
    </w:pPr>
    <w:rPr>
      <w:b/>
      <w:bCs/>
      <w:sz w:val="16"/>
      <w:szCs w:val="16"/>
    </w:rPr>
  </w:style>
  <w:style w:type="paragraph" w:customStyle="1" w:styleId="209">
    <w:name w:val="表内容－居中"/>
    <w:basedOn w:val="1"/>
    <w:qFormat/>
    <w:uiPriority w:val="99"/>
    <w:pPr>
      <w:widowControl w:val="0"/>
      <w:spacing w:line="400" w:lineRule="exact"/>
      <w:jc w:val="center"/>
    </w:pPr>
    <w:rPr>
      <w:rFonts w:cs="宋体"/>
      <w:kern w:val="2"/>
      <w:sz w:val="24"/>
    </w:rPr>
  </w:style>
  <w:style w:type="paragraph" w:customStyle="1" w:styleId="210">
    <w:name w:val="a03"/>
    <w:basedOn w:val="1"/>
    <w:qFormat/>
    <w:uiPriority w:val="99"/>
    <w:pPr>
      <w:spacing w:before="100" w:beforeAutospacing="1" w:after="100" w:afterAutospacing="1" w:line="225" w:lineRule="atLeast"/>
    </w:pPr>
    <w:rPr>
      <w:rFonts w:ascii="宋体" w:hAnsi="宋体" w:cs="宋体"/>
      <w:color w:val="666666"/>
      <w:sz w:val="15"/>
      <w:szCs w:val="15"/>
    </w:rPr>
  </w:style>
  <w:style w:type="paragraph" w:customStyle="1" w:styleId="211">
    <w:name w:val="Char3"/>
    <w:basedOn w:val="17"/>
    <w:qFormat/>
    <w:uiPriority w:val="99"/>
    <w:pPr>
      <w:widowControl w:val="0"/>
      <w:adjustRightInd w:val="0"/>
      <w:jc w:val="both"/>
    </w:pPr>
    <w:rPr>
      <w:rFonts w:ascii="Tahoma" w:hAnsi="Tahoma"/>
      <w:kern w:val="2"/>
      <w:sz w:val="24"/>
      <w:szCs w:val="24"/>
    </w:rPr>
  </w:style>
  <w:style w:type="paragraph" w:customStyle="1" w:styleId="212">
    <w:name w:val="xl75"/>
    <w:basedOn w:val="1"/>
    <w:qFormat/>
    <w:uiPriority w:val="99"/>
    <w:pPr>
      <w:spacing w:before="100" w:beforeAutospacing="1" w:after="100" w:afterAutospacing="1"/>
      <w:jc w:val="center"/>
    </w:pPr>
    <w:rPr>
      <w:rFonts w:ascii="宋体" w:hAnsi="宋体" w:cs="宋体"/>
      <w:b/>
      <w:bCs/>
      <w:color w:val="000000"/>
      <w:sz w:val="32"/>
      <w:szCs w:val="32"/>
    </w:rPr>
  </w:style>
  <w:style w:type="paragraph" w:customStyle="1" w:styleId="213">
    <w:name w:val="xl33"/>
    <w:basedOn w:val="1"/>
    <w:qFormat/>
    <w:uiPriority w:val="99"/>
    <w:pPr>
      <w:pBdr>
        <w:bottom w:val="single" w:color="auto" w:sz="8" w:space="0"/>
      </w:pBdr>
      <w:spacing w:before="100" w:beforeAutospacing="1" w:after="100" w:afterAutospacing="1"/>
      <w:jc w:val="center"/>
    </w:pPr>
    <w:rPr>
      <w:rFonts w:ascii="Arial Unicode MS" w:hAnsi="Arial Unicode MS" w:cs="Arial Unicode MS"/>
      <w:sz w:val="36"/>
      <w:szCs w:val="36"/>
    </w:rPr>
  </w:style>
  <w:style w:type="paragraph" w:customStyle="1" w:styleId="214">
    <w:name w:val="样式 标题 3标题 3 Char Char Char Char(A-3)sect1.2.3h3H3 + 加粗 段前:..."/>
    <w:basedOn w:val="6"/>
    <w:qFormat/>
    <w:uiPriority w:val="99"/>
    <w:pPr>
      <w:keepNext/>
      <w:keepLines/>
      <w:numPr>
        <w:ilvl w:val="2"/>
        <w:numId w:val="6"/>
      </w:numPr>
      <w:tabs>
        <w:tab w:val="left" w:pos="0"/>
        <w:tab w:val="left" w:pos="1080"/>
        <w:tab w:val="clear" w:pos="851"/>
      </w:tabs>
      <w:autoSpaceDE/>
      <w:autoSpaceDN/>
      <w:adjustRightInd/>
      <w:snapToGrid/>
      <w:spacing w:before="240"/>
    </w:pPr>
    <w:rPr>
      <w:rFonts w:ascii="Calibri" w:hAnsi="Calibri" w:eastAsia="黑体"/>
      <w:kern w:val="2"/>
      <w:sz w:val="28"/>
    </w:rPr>
  </w:style>
  <w:style w:type="paragraph" w:customStyle="1" w:styleId="215">
    <w:name w:val="xl86"/>
    <w:basedOn w:val="1"/>
    <w:qFormat/>
    <w:uiPriority w:val="99"/>
    <w:pPr>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Arial Unicode MS"/>
      <w:sz w:val="16"/>
      <w:szCs w:val="16"/>
    </w:rPr>
  </w:style>
  <w:style w:type="paragraph" w:customStyle="1" w:styleId="216">
    <w:name w:val="样式 标题 3 + 右侧:  0.42 厘米"/>
    <w:basedOn w:val="6"/>
    <w:qFormat/>
    <w:uiPriority w:val="99"/>
    <w:pPr>
      <w:keepNext/>
      <w:keepLines/>
      <w:autoSpaceDE/>
      <w:autoSpaceDN/>
      <w:adjustRightInd/>
      <w:snapToGrid/>
      <w:spacing w:before="260" w:after="260" w:line="412" w:lineRule="auto"/>
      <w:ind w:left="0" w:firstLine="0"/>
    </w:pPr>
    <w:rPr>
      <w:rFonts w:ascii="黑体" w:hAnsi="黑体" w:eastAsia="黑体" w:cs="宋体"/>
      <w:kern w:val="2"/>
      <w:sz w:val="30"/>
    </w:rPr>
  </w:style>
  <w:style w:type="character" w:customStyle="1" w:styleId="217">
    <w:name w:val="表格 Char Char"/>
    <w:link w:val="218"/>
    <w:qFormat/>
    <w:locked/>
    <w:uiPriority w:val="99"/>
    <w:rPr>
      <w:rFonts w:ascii="宋体" w:hAnsi="宋体" w:eastAsia="宋体"/>
      <w:color w:val="000000"/>
      <w:sz w:val="24"/>
    </w:rPr>
  </w:style>
  <w:style w:type="paragraph" w:customStyle="1" w:styleId="218">
    <w:name w:val="表格"/>
    <w:basedOn w:val="1"/>
    <w:link w:val="217"/>
    <w:qFormat/>
    <w:uiPriority w:val="99"/>
    <w:pPr>
      <w:widowControl w:val="0"/>
      <w:autoSpaceDE w:val="0"/>
      <w:autoSpaceDN w:val="0"/>
      <w:adjustRightInd w:val="0"/>
      <w:jc w:val="center"/>
    </w:pPr>
    <w:rPr>
      <w:rFonts w:ascii="宋体" w:hAnsi="宋体"/>
      <w:color w:val="000000"/>
      <w:sz w:val="24"/>
    </w:rPr>
  </w:style>
  <w:style w:type="paragraph" w:customStyle="1" w:styleId="219">
    <w:name w:val="xl96"/>
    <w:basedOn w:val="1"/>
    <w:qFormat/>
    <w:uiPriority w:val="99"/>
    <w:pPr>
      <w:pBdr>
        <w:top w:val="single" w:color="auto" w:sz="4" w:space="0"/>
        <w:left w:val="single" w:color="auto" w:sz="4" w:space="0"/>
        <w:bottom w:val="single" w:color="auto" w:sz="8" w:space="0"/>
      </w:pBdr>
      <w:spacing w:before="100" w:beforeAutospacing="1" w:after="100" w:afterAutospacing="1"/>
    </w:pPr>
    <w:rPr>
      <w:rFonts w:ascii="Arial Unicode MS" w:hAnsi="Arial Unicode MS" w:cs="Arial Unicode MS"/>
      <w:sz w:val="16"/>
      <w:szCs w:val="16"/>
    </w:rPr>
  </w:style>
  <w:style w:type="paragraph" w:customStyle="1" w:styleId="220">
    <w:name w:val="列出段落2"/>
    <w:basedOn w:val="1"/>
    <w:qFormat/>
    <w:uiPriority w:val="99"/>
    <w:pPr>
      <w:widowControl w:val="0"/>
      <w:ind w:firstLine="420" w:firstLineChars="200"/>
      <w:jc w:val="both"/>
    </w:pPr>
    <w:rPr>
      <w:kern w:val="2"/>
      <w:szCs w:val="24"/>
    </w:rPr>
  </w:style>
  <w:style w:type="character" w:customStyle="1" w:styleId="221">
    <w:name w:val="标题 5（无编号）（绿盟科技） Char"/>
    <w:link w:val="222"/>
    <w:qFormat/>
    <w:locked/>
    <w:uiPriority w:val="99"/>
    <w:rPr>
      <w:rFonts w:ascii="Arial" w:hAnsi="Arial" w:eastAsia="黑体"/>
      <w:b/>
      <w:sz w:val="28"/>
    </w:rPr>
  </w:style>
  <w:style w:type="paragraph" w:customStyle="1" w:styleId="222">
    <w:name w:val="标题 5（无编号）（绿盟科技）"/>
    <w:basedOn w:val="8"/>
    <w:link w:val="221"/>
    <w:qFormat/>
    <w:uiPriority w:val="99"/>
    <w:pPr>
      <w:keepLines/>
      <w:tabs>
        <w:tab w:val="left" w:pos="1232"/>
        <w:tab w:val="clear" w:pos="1008"/>
      </w:tabs>
      <w:autoSpaceDE/>
      <w:autoSpaceDN/>
      <w:adjustRightInd/>
      <w:snapToGrid/>
      <w:spacing w:after="156" w:line="376" w:lineRule="auto"/>
      <w:ind w:left="0" w:firstLine="0"/>
      <w:jc w:val="left"/>
    </w:pPr>
    <w:rPr>
      <w:rFonts w:ascii="Arial" w:hAnsi="Arial" w:eastAsia="黑体"/>
      <w:color w:val="auto"/>
    </w:rPr>
  </w:style>
  <w:style w:type="paragraph" w:customStyle="1" w:styleId="223">
    <w:name w:val="标题5"/>
    <w:basedOn w:val="5"/>
    <w:next w:val="5"/>
    <w:qFormat/>
    <w:uiPriority w:val="99"/>
    <w:pPr>
      <w:widowControl w:val="0"/>
      <w:spacing w:line="360" w:lineRule="auto"/>
      <w:ind w:left="0"/>
      <w:jc w:val="both"/>
    </w:pPr>
    <w:rPr>
      <w:bCs/>
      <w:kern w:val="2"/>
      <w:sz w:val="30"/>
    </w:rPr>
  </w:style>
  <w:style w:type="paragraph" w:customStyle="1" w:styleId="224">
    <w:name w:val="正文编号内容"/>
    <w:basedOn w:val="53"/>
    <w:next w:val="53"/>
    <w:qFormat/>
    <w:uiPriority w:val="99"/>
    <w:pPr>
      <w:tabs>
        <w:tab w:val="left" w:pos="425"/>
      </w:tabs>
      <w:suppressAutoHyphens/>
      <w:adjustRightInd/>
      <w:spacing w:after="0" w:line="240" w:lineRule="auto"/>
      <w:ind w:left="425" w:hanging="425" w:firstLineChars="0"/>
    </w:pPr>
    <w:rPr>
      <w:rFonts w:ascii="黑体" w:hAnsi="华文细黑"/>
      <w:color w:val="000000"/>
      <w:szCs w:val="20"/>
    </w:rPr>
  </w:style>
  <w:style w:type="paragraph" w:customStyle="1" w:styleId="225">
    <w:name w:val="01"/>
    <w:basedOn w:val="1"/>
    <w:qFormat/>
    <w:uiPriority w:val="99"/>
    <w:pPr>
      <w:widowControl w:val="0"/>
      <w:adjustRightInd w:val="0"/>
      <w:snapToGrid w:val="0"/>
      <w:spacing w:line="300" w:lineRule="exact"/>
      <w:jc w:val="both"/>
    </w:pPr>
    <w:rPr>
      <w:rFonts w:ascii="宋体" w:hAnsi="宋体"/>
      <w:kern w:val="2"/>
      <w:szCs w:val="24"/>
    </w:rPr>
  </w:style>
  <w:style w:type="paragraph" w:customStyle="1" w:styleId="226">
    <w:name w:val="日期1"/>
    <w:basedOn w:val="1"/>
    <w:next w:val="1"/>
    <w:qFormat/>
    <w:uiPriority w:val="99"/>
    <w:pPr>
      <w:widowControl w:val="0"/>
      <w:adjustRightInd w:val="0"/>
      <w:spacing w:line="312" w:lineRule="atLeast"/>
      <w:jc w:val="both"/>
    </w:pPr>
    <w:rPr>
      <w:sz w:val="24"/>
    </w:rPr>
  </w:style>
  <w:style w:type="paragraph" w:customStyle="1" w:styleId="227">
    <w:name w:val="xl79"/>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cs="Arial Unicode MS"/>
      <w:b/>
      <w:bCs/>
      <w:sz w:val="16"/>
      <w:szCs w:val="16"/>
    </w:rPr>
  </w:style>
  <w:style w:type="paragraph" w:customStyle="1" w:styleId="228">
    <w:name w:val="样式1"/>
    <w:basedOn w:val="1"/>
    <w:qFormat/>
    <w:uiPriority w:val="99"/>
    <w:pPr>
      <w:widowControl w:val="0"/>
      <w:numPr>
        <w:ilvl w:val="0"/>
        <w:numId w:val="7"/>
      </w:numPr>
      <w:adjustRightInd w:val="0"/>
      <w:snapToGrid w:val="0"/>
      <w:spacing w:before="40" w:after="40" w:line="300" w:lineRule="auto"/>
      <w:jc w:val="center"/>
    </w:pPr>
    <w:rPr>
      <w:spacing w:val="20"/>
      <w:sz w:val="18"/>
    </w:rPr>
  </w:style>
  <w:style w:type="paragraph" w:customStyle="1" w:styleId="229">
    <w:name w:val="USE 5"/>
    <w:basedOn w:val="1"/>
    <w:qFormat/>
    <w:uiPriority w:val="99"/>
    <w:pPr>
      <w:widowControl w:val="0"/>
      <w:numPr>
        <w:ilvl w:val="4"/>
        <w:numId w:val="5"/>
      </w:numPr>
      <w:snapToGrid w:val="0"/>
      <w:spacing w:line="360" w:lineRule="auto"/>
    </w:pPr>
    <w:rPr>
      <w:rFonts w:ascii="宋体" w:hAnsi="宋体"/>
      <w:kern w:val="2"/>
      <w:sz w:val="24"/>
      <w:szCs w:val="24"/>
    </w:rPr>
  </w:style>
  <w:style w:type="paragraph" w:customStyle="1" w:styleId="230">
    <w:name w:val="样式 行距: 1.5 倍行距"/>
    <w:basedOn w:val="1"/>
    <w:qFormat/>
    <w:uiPriority w:val="99"/>
    <w:pPr>
      <w:widowControl w:val="0"/>
      <w:jc w:val="both"/>
    </w:pPr>
    <w:rPr>
      <w:kern w:val="2"/>
      <w:szCs w:val="24"/>
    </w:rPr>
  </w:style>
  <w:style w:type="paragraph" w:customStyle="1" w:styleId="231">
    <w:name w:val="xl90"/>
    <w:basedOn w:val="1"/>
    <w:qFormat/>
    <w:uiPriority w:val="99"/>
    <w:pPr>
      <w:pBdr>
        <w:top w:val="single" w:color="auto" w:sz="4" w:space="0"/>
        <w:left w:val="single" w:color="auto" w:sz="4" w:space="0"/>
        <w:bottom w:val="single" w:color="auto" w:sz="4" w:space="0"/>
      </w:pBdr>
      <w:shd w:val="clear" w:color="auto" w:fill="FFFF00"/>
      <w:spacing w:before="100" w:beforeAutospacing="1" w:after="100" w:afterAutospacing="1"/>
    </w:pPr>
    <w:rPr>
      <w:rFonts w:ascii="Arial Unicode MS" w:hAnsi="Arial Unicode MS" w:cs="Arial Unicode MS"/>
      <w:sz w:val="16"/>
      <w:szCs w:val="16"/>
    </w:rPr>
  </w:style>
  <w:style w:type="paragraph" w:customStyle="1" w:styleId="232">
    <w:name w:val="样式 段后: 0.5 行"/>
    <w:basedOn w:val="1"/>
    <w:qFormat/>
    <w:uiPriority w:val="99"/>
    <w:pPr>
      <w:widowControl w:val="0"/>
      <w:tabs>
        <w:tab w:val="left" w:pos="1141"/>
      </w:tabs>
      <w:spacing w:line="360" w:lineRule="auto"/>
      <w:ind w:left="1141" w:hanging="420"/>
      <w:jc w:val="both"/>
    </w:pPr>
    <w:rPr>
      <w:rFonts w:ascii="黑体" w:hAnsi="宋体" w:eastAsia="黑体"/>
      <w:kern w:val="2"/>
      <w:sz w:val="24"/>
      <w:szCs w:val="28"/>
    </w:rPr>
  </w:style>
  <w:style w:type="paragraph" w:customStyle="1" w:styleId="233">
    <w:name w:val="题注4"/>
    <w:basedOn w:val="1"/>
    <w:next w:val="15"/>
    <w:qFormat/>
    <w:uiPriority w:val="99"/>
    <w:pPr>
      <w:widowControl w:val="0"/>
      <w:ind w:left="-132" w:leftChars="-64" w:right="-50" w:rightChars="-50" w:hanging="2"/>
      <w:jc w:val="center"/>
    </w:pPr>
    <w:rPr>
      <w:b/>
      <w:color w:val="FF0000"/>
      <w:kern w:val="2"/>
      <w:lang w:val="en-GB"/>
    </w:rPr>
  </w:style>
  <w:style w:type="paragraph" w:customStyle="1" w:styleId="234">
    <w:name w:val="xl58"/>
    <w:basedOn w:val="1"/>
    <w:qFormat/>
    <w:uiPriority w:val="99"/>
    <w:pPr>
      <w:pBdr>
        <w:bottom w:val="single" w:color="auto" w:sz="4" w:space="0"/>
      </w:pBdr>
      <w:spacing w:before="100" w:beforeAutospacing="1" w:after="100" w:afterAutospacing="1"/>
    </w:pPr>
    <w:rPr>
      <w:rFonts w:ascii="宋体" w:hAnsi="宋体" w:cs="宋体"/>
      <w:b/>
      <w:bCs/>
      <w:color w:val="000000"/>
      <w:sz w:val="22"/>
      <w:szCs w:val="22"/>
    </w:rPr>
  </w:style>
  <w:style w:type="paragraph" w:customStyle="1" w:styleId="235">
    <w:name w:val="xl4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0"/>
    </w:rPr>
  </w:style>
  <w:style w:type="paragraph" w:customStyle="1" w:styleId="236">
    <w:name w:val="普通 (Web)"/>
    <w:basedOn w:val="1"/>
    <w:qFormat/>
    <w:uiPriority w:val="99"/>
    <w:pPr>
      <w:spacing w:before="100" w:after="100"/>
    </w:pPr>
    <w:rPr>
      <w:rFonts w:ascii="Arial Unicode MS" w:hAnsi="Arial Unicode MS"/>
      <w:sz w:val="24"/>
    </w:rPr>
  </w:style>
  <w:style w:type="paragraph" w:customStyle="1" w:styleId="237">
    <w:name w:val="xl4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238">
    <w:name w:val="设计方案"/>
    <w:basedOn w:val="1"/>
    <w:qFormat/>
    <w:uiPriority w:val="99"/>
    <w:pPr>
      <w:spacing w:after="160" w:line="240" w:lineRule="exact"/>
    </w:pPr>
    <w:rPr>
      <w:kern w:val="2"/>
      <w:sz w:val="24"/>
    </w:rPr>
  </w:style>
  <w:style w:type="paragraph" w:customStyle="1" w:styleId="239">
    <w:name w:val="文章采用"/>
    <w:basedOn w:val="1"/>
    <w:qFormat/>
    <w:uiPriority w:val="99"/>
    <w:pPr>
      <w:widowControl w:val="0"/>
      <w:spacing w:line="360" w:lineRule="auto"/>
      <w:ind w:firstLine="560" w:firstLineChars="200"/>
      <w:jc w:val="both"/>
    </w:pPr>
    <w:rPr>
      <w:rFonts w:eastAsia="仿宋_GB2312" w:cs="宋体"/>
      <w:kern w:val="2"/>
      <w:sz w:val="28"/>
    </w:rPr>
  </w:style>
  <w:style w:type="paragraph" w:customStyle="1" w:styleId="240">
    <w:name w:val="Char Char"/>
    <w:basedOn w:val="1"/>
    <w:qFormat/>
    <w:uiPriority w:val="99"/>
    <w:pPr>
      <w:spacing w:after="160" w:line="240" w:lineRule="exact"/>
    </w:pPr>
    <w:rPr>
      <w:rFonts w:ascii="Verdana" w:hAnsi="Verdana" w:eastAsia="仿宋_GB2312"/>
      <w:sz w:val="24"/>
      <w:lang w:eastAsia="en-US"/>
    </w:rPr>
  </w:style>
  <w:style w:type="paragraph" w:customStyle="1" w:styleId="241">
    <w:name w:val="2册标题2"/>
    <w:basedOn w:val="174"/>
    <w:qFormat/>
    <w:uiPriority w:val="99"/>
    <w:pPr>
      <w:jc w:val="both"/>
      <w:outlineLvl w:val="1"/>
    </w:pPr>
    <w:rPr>
      <w:sz w:val="32"/>
    </w:rPr>
  </w:style>
  <w:style w:type="paragraph" w:customStyle="1" w:styleId="242">
    <w:name w:val="xl7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243">
    <w:name w:val="4"/>
    <w:basedOn w:val="1"/>
    <w:next w:val="44"/>
    <w:qFormat/>
    <w:uiPriority w:val="99"/>
    <w:pPr>
      <w:widowControl w:val="0"/>
      <w:ind w:firstLine="900"/>
      <w:jc w:val="both"/>
    </w:pPr>
    <w:rPr>
      <w:kern w:val="2"/>
      <w:sz w:val="28"/>
    </w:rPr>
  </w:style>
  <w:style w:type="character" w:customStyle="1" w:styleId="244">
    <w:name w:val="Body Char"/>
    <w:link w:val="245"/>
    <w:qFormat/>
    <w:locked/>
    <w:uiPriority w:val="99"/>
    <w:rPr>
      <w:rFonts w:ascii="Arial" w:hAnsi="Arial"/>
      <w:color w:val="000000"/>
      <w:sz w:val="24"/>
    </w:rPr>
  </w:style>
  <w:style w:type="paragraph" w:customStyle="1" w:styleId="245">
    <w:name w:val="Body"/>
    <w:basedOn w:val="1"/>
    <w:link w:val="244"/>
    <w:qFormat/>
    <w:uiPriority w:val="99"/>
    <w:pPr>
      <w:tabs>
        <w:tab w:val="left" w:pos="9255"/>
      </w:tabs>
      <w:spacing w:line="360" w:lineRule="auto"/>
      <w:ind w:firstLine="315" w:firstLineChars="150"/>
      <w:jc w:val="center"/>
    </w:pPr>
    <w:rPr>
      <w:rFonts w:ascii="Arial" w:hAnsi="Arial"/>
      <w:color w:val="000000"/>
      <w:sz w:val="24"/>
    </w:rPr>
  </w:style>
  <w:style w:type="paragraph" w:customStyle="1" w:styleId="246">
    <w:name w:val="xl4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0"/>
    </w:rPr>
  </w:style>
  <w:style w:type="paragraph" w:customStyle="1" w:styleId="247">
    <w:name w:val="xl84"/>
    <w:basedOn w:val="1"/>
    <w:qFormat/>
    <w:uiPriority w:val="99"/>
    <w:pPr>
      <w:pBdr>
        <w:top w:val="single" w:color="auto" w:sz="4" w:space="0"/>
        <w:left w:val="single" w:color="auto" w:sz="8" w:space="0"/>
        <w:bottom w:val="single" w:color="auto" w:sz="4" w:space="0"/>
      </w:pBdr>
      <w:shd w:val="clear" w:color="auto" w:fill="FFFF00"/>
      <w:spacing w:before="100" w:beforeAutospacing="1" w:after="100" w:afterAutospacing="1"/>
    </w:pPr>
    <w:rPr>
      <w:rFonts w:ascii="宋体" w:hAnsi="宋体" w:cs="Arial Unicode MS"/>
      <w:sz w:val="16"/>
      <w:szCs w:val="16"/>
    </w:rPr>
  </w:style>
  <w:style w:type="paragraph" w:customStyle="1" w:styleId="248">
    <w:name w:val="xl6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249">
    <w:name w:val="表格样式"/>
    <w:basedOn w:val="1"/>
    <w:qFormat/>
    <w:uiPriority w:val="99"/>
    <w:pPr>
      <w:widowControl w:val="0"/>
      <w:spacing w:line="360" w:lineRule="auto"/>
      <w:ind w:firstLine="425"/>
      <w:jc w:val="both"/>
    </w:pPr>
    <w:rPr>
      <w:rFonts w:eastAsia="幼圆"/>
      <w:kern w:val="2"/>
      <w:sz w:val="24"/>
    </w:rPr>
  </w:style>
  <w:style w:type="paragraph" w:customStyle="1" w:styleId="250">
    <w:name w:val="xl26"/>
    <w:basedOn w:val="1"/>
    <w:qFormat/>
    <w:uiPriority w:val="99"/>
    <w:pPr>
      <w:spacing w:before="100" w:beforeAutospacing="1" w:after="100" w:afterAutospacing="1"/>
      <w:jc w:val="center"/>
    </w:pPr>
    <w:rPr>
      <w:rFonts w:ascii="宋体" w:hAnsi="宋体"/>
      <w:b/>
      <w:bCs/>
      <w:sz w:val="24"/>
      <w:szCs w:val="24"/>
    </w:rPr>
  </w:style>
  <w:style w:type="paragraph" w:customStyle="1" w:styleId="251">
    <w:name w:val="xl25"/>
    <w:basedOn w:val="1"/>
    <w:qFormat/>
    <w:uiPriority w:val="99"/>
    <w:pPr>
      <w:pBdr>
        <w:bottom w:val="single" w:color="auto" w:sz="4" w:space="0"/>
        <w:right w:val="single" w:color="auto" w:sz="4" w:space="0"/>
      </w:pBdr>
      <w:spacing w:before="100" w:beforeAutospacing="1" w:after="100" w:afterAutospacing="1" w:line="360" w:lineRule="auto"/>
      <w:jc w:val="center"/>
    </w:pPr>
    <w:rPr>
      <w:rFonts w:ascii="宋体" w:hAnsi="宋体"/>
      <w:szCs w:val="21"/>
    </w:rPr>
  </w:style>
  <w:style w:type="paragraph" w:customStyle="1" w:styleId="252">
    <w:name w:val="xl5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253">
    <w:name w:val="USE 2"/>
    <w:basedOn w:val="1"/>
    <w:qFormat/>
    <w:uiPriority w:val="99"/>
    <w:pPr>
      <w:widowControl w:val="0"/>
      <w:numPr>
        <w:ilvl w:val="1"/>
        <w:numId w:val="5"/>
      </w:numPr>
      <w:spacing w:line="360" w:lineRule="auto"/>
    </w:pPr>
    <w:rPr>
      <w:rFonts w:ascii="宋体" w:hAnsi="宋体"/>
      <w:kern w:val="2"/>
      <w:sz w:val="24"/>
    </w:rPr>
  </w:style>
  <w:style w:type="paragraph" w:customStyle="1" w:styleId="254">
    <w:name w:val="font6"/>
    <w:basedOn w:val="1"/>
    <w:qFormat/>
    <w:uiPriority w:val="99"/>
    <w:pPr>
      <w:spacing w:before="100" w:beforeAutospacing="1" w:after="100" w:afterAutospacing="1"/>
    </w:pPr>
    <w:rPr>
      <w:sz w:val="24"/>
      <w:szCs w:val="24"/>
    </w:rPr>
  </w:style>
  <w:style w:type="paragraph" w:customStyle="1" w:styleId="255">
    <w:name w:val="table"/>
    <w:basedOn w:val="1"/>
    <w:qFormat/>
    <w:uiPriority w:val="99"/>
    <w:pPr>
      <w:spacing w:before="100" w:beforeAutospacing="1" w:after="100" w:afterAutospacing="1"/>
    </w:pPr>
    <w:rPr>
      <w:rFonts w:ascii="宋体" w:hAnsi="宋体"/>
      <w:sz w:val="24"/>
      <w:szCs w:val="24"/>
    </w:rPr>
  </w:style>
  <w:style w:type="paragraph" w:customStyle="1" w:styleId="256">
    <w:name w:val="样式 标题 1H1h1章l1I11st levelHeading 01Header 1Header1Sec...3"/>
    <w:basedOn w:val="3"/>
    <w:qFormat/>
    <w:uiPriority w:val="99"/>
    <w:pPr>
      <w:tabs>
        <w:tab w:val="clear" w:pos="840"/>
      </w:tabs>
      <w:adjustRightInd/>
      <w:snapToGrid/>
      <w:spacing w:before="340" w:after="330" w:line="576" w:lineRule="auto"/>
    </w:pPr>
    <w:rPr>
      <w:rFonts w:ascii="黑体" w:hAnsi="黑体" w:eastAsia="黑体" w:cs="宋体"/>
      <w:b w:val="0"/>
      <w:bCs/>
      <w:sz w:val="36"/>
    </w:rPr>
  </w:style>
  <w:style w:type="paragraph" w:customStyle="1" w:styleId="257">
    <w:name w:val="Char1"/>
    <w:basedOn w:val="1"/>
    <w:qFormat/>
    <w:uiPriority w:val="99"/>
    <w:pPr>
      <w:spacing w:after="160" w:line="240" w:lineRule="exact"/>
    </w:pPr>
    <w:rPr>
      <w:rFonts w:ascii="Verdana" w:hAnsi="Verdana" w:eastAsia="仿宋_GB2312"/>
      <w:sz w:val="24"/>
      <w:lang w:eastAsia="en-US"/>
    </w:rPr>
  </w:style>
  <w:style w:type="paragraph" w:customStyle="1" w:styleId="258">
    <w:name w:val="xl78"/>
    <w:basedOn w:val="1"/>
    <w:qFormat/>
    <w:uiPriority w:val="99"/>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Arial Unicode MS"/>
      <w:b/>
      <w:bCs/>
      <w:sz w:val="16"/>
      <w:szCs w:val="16"/>
    </w:rPr>
  </w:style>
  <w:style w:type="paragraph" w:customStyle="1" w:styleId="259">
    <w:name w:val="中等深浅网格 1 - 强调文字颜色 21"/>
    <w:basedOn w:val="1"/>
    <w:qFormat/>
    <w:uiPriority w:val="99"/>
    <w:pPr>
      <w:ind w:firstLine="420" w:firstLineChars="200"/>
    </w:pPr>
    <w:rPr>
      <w:sz w:val="20"/>
    </w:rPr>
  </w:style>
  <w:style w:type="paragraph" w:customStyle="1" w:styleId="260">
    <w:name w:val="xl100"/>
    <w:basedOn w:val="1"/>
    <w:qFormat/>
    <w:uiPriority w:val="99"/>
    <w:pPr>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cs="Arial Unicode MS"/>
      <w:sz w:val="16"/>
      <w:szCs w:val="16"/>
    </w:rPr>
  </w:style>
  <w:style w:type="paragraph" w:customStyle="1" w:styleId="261">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2">
    <w:name w:val="样式 中软正文 + 首行缩进:  2 字符 Char Char"/>
    <w:basedOn w:val="1"/>
    <w:qFormat/>
    <w:uiPriority w:val="99"/>
    <w:pPr>
      <w:overflowPunct w:val="0"/>
      <w:autoSpaceDE w:val="0"/>
      <w:autoSpaceDN w:val="0"/>
      <w:adjustRightInd w:val="0"/>
      <w:spacing w:after="120" w:line="440" w:lineRule="exact"/>
      <w:ind w:firstLine="463" w:firstLineChars="192"/>
    </w:pPr>
    <w:rPr>
      <w:rFonts w:ascii="方正仿宋简体" w:hAnsi="宋体" w:eastAsia="方正仿宋简体"/>
      <w:b/>
      <w:kern w:val="2"/>
      <w:sz w:val="24"/>
      <w:szCs w:val="24"/>
    </w:rPr>
  </w:style>
  <w:style w:type="paragraph" w:customStyle="1" w:styleId="263">
    <w:name w:val="图注"/>
    <w:basedOn w:val="5"/>
    <w:qFormat/>
    <w:uiPriority w:val="99"/>
    <w:pPr>
      <w:widowControl w:val="0"/>
      <w:spacing w:line="360" w:lineRule="auto"/>
      <w:ind w:left="0"/>
      <w:jc w:val="center"/>
    </w:pPr>
    <w:rPr>
      <w:rFonts w:ascii="宋体" w:hAnsi="宋体"/>
      <w:kern w:val="2"/>
      <w:sz w:val="24"/>
      <w:szCs w:val="24"/>
    </w:rPr>
  </w:style>
  <w:style w:type="paragraph" w:customStyle="1" w:styleId="264">
    <w:name w:val="Char4"/>
    <w:basedOn w:val="1"/>
    <w:qFormat/>
    <w:uiPriority w:val="99"/>
    <w:pPr>
      <w:widowControl w:val="0"/>
      <w:tabs>
        <w:tab w:val="left" w:pos="360"/>
      </w:tabs>
      <w:jc w:val="both"/>
    </w:pPr>
    <w:rPr>
      <w:kern w:val="2"/>
      <w:sz w:val="24"/>
      <w:szCs w:val="24"/>
    </w:rPr>
  </w:style>
  <w:style w:type="paragraph" w:customStyle="1" w:styleId="265">
    <w:name w:val="xl97"/>
    <w:basedOn w:val="1"/>
    <w:qFormat/>
    <w:uiPriority w:val="99"/>
    <w:pPr>
      <w:pBdr>
        <w:top w:val="single" w:color="auto" w:sz="8" w:space="0"/>
        <w:left w:val="single" w:color="auto" w:sz="8" w:space="0"/>
        <w:bottom w:val="single" w:color="auto" w:sz="8" w:space="0"/>
      </w:pBdr>
      <w:spacing w:before="100" w:beforeAutospacing="1" w:after="100" w:afterAutospacing="1"/>
      <w:jc w:val="center"/>
    </w:pPr>
    <w:rPr>
      <w:rFonts w:ascii="宋体" w:hAnsi="宋体" w:cs="Arial Unicode MS"/>
      <w:sz w:val="16"/>
      <w:szCs w:val="16"/>
    </w:rPr>
  </w:style>
  <w:style w:type="paragraph" w:customStyle="1" w:styleId="266">
    <w:name w:val="Char1 Char Char Char"/>
    <w:basedOn w:val="1"/>
    <w:qFormat/>
    <w:uiPriority w:val="99"/>
    <w:pPr>
      <w:widowControl w:val="0"/>
      <w:jc w:val="both"/>
    </w:pPr>
    <w:rPr>
      <w:rFonts w:ascii="Tahoma" w:hAnsi="Tahoma"/>
      <w:kern w:val="2"/>
      <w:sz w:val="24"/>
    </w:rPr>
  </w:style>
  <w:style w:type="character" w:customStyle="1" w:styleId="267">
    <w:name w:val="3级标题 Char"/>
    <w:link w:val="268"/>
    <w:qFormat/>
    <w:locked/>
    <w:uiPriority w:val="99"/>
    <w:rPr>
      <w:rFonts w:ascii="Arial" w:hAnsi="Arial" w:eastAsia="黑体"/>
      <w:b/>
      <w:sz w:val="28"/>
    </w:rPr>
  </w:style>
  <w:style w:type="paragraph" w:customStyle="1" w:styleId="268">
    <w:name w:val="3级标题"/>
    <w:basedOn w:val="1"/>
    <w:link w:val="267"/>
    <w:qFormat/>
    <w:uiPriority w:val="99"/>
    <w:pPr>
      <w:keepNext/>
      <w:keepLines/>
      <w:widowControl w:val="0"/>
      <w:tabs>
        <w:tab w:val="left" w:pos="1232"/>
      </w:tabs>
      <w:spacing w:before="280" w:after="156" w:line="376" w:lineRule="auto"/>
      <w:outlineLvl w:val="2"/>
    </w:pPr>
    <w:rPr>
      <w:rFonts w:ascii="Arial" w:hAnsi="Arial" w:eastAsia="黑体"/>
      <w:b/>
      <w:sz w:val="28"/>
    </w:rPr>
  </w:style>
  <w:style w:type="paragraph" w:customStyle="1" w:styleId="269">
    <w:name w:val="样式 正文文本 + 宋体 首行缩进:  0.74 厘米 行距: 1.5 倍行距"/>
    <w:basedOn w:val="2"/>
    <w:qFormat/>
    <w:uiPriority w:val="99"/>
    <w:pPr>
      <w:spacing w:after="120" w:line="360" w:lineRule="auto"/>
      <w:ind w:firstLine="200" w:firstLineChars="200"/>
    </w:pPr>
    <w:rPr>
      <w:rFonts w:ascii="Calibri" w:hAnsi="Calibri"/>
      <w:sz w:val="24"/>
      <w:szCs w:val="22"/>
    </w:rPr>
  </w:style>
  <w:style w:type="paragraph" w:customStyle="1" w:styleId="270">
    <w:name w:val="xl2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2"/>
      <w:szCs w:val="22"/>
    </w:rPr>
  </w:style>
  <w:style w:type="paragraph" w:customStyle="1" w:styleId="271">
    <w:name w:val="关于"/>
    <w:basedOn w:val="1"/>
    <w:next w:val="1"/>
    <w:qFormat/>
    <w:uiPriority w:val="99"/>
    <w:pPr>
      <w:keepNext/>
      <w:keepLines/>
      <w:tabs>
        <w:tab w:val="left" w:pos="600"/>
        <w:tab w:val="left" w:pos="960"/>
        <w:tab w:val="left" w:pos="1080"/>
      </w:tabs>
      <w:overflowPunct w:val="0"/>
      <w:spacing w:before="220" w:line="360" w:lineRule="auto"/>
      <w:ind w:right="28" w:firstLine="480"/>
      <w:jc w:val="both"/>
    </w:pPr>
    <w:rPr>
      <w:rFonts w:ascii="宋体" w:hAnsi="宋体"/>
      <w:sz w:val="24"/>
    </w:rPr>
  </w:style>
  <w:style w:type="paragraph" w:customStyle="1" w:styleId="272">
    <w:name w:val="p18"/>
    <w:basedOn w:val="1"/>
    <w:qFormat/>
    <w:uiPriority w:val="99"/>
    <w:pPr>
      <w:jc w:val="both"/>
    </w:pPr>
    <w:rPr>
      <w:szCs w:val="21"/>
    </w:rPr>
  </w:style>
  <w:style w:type="paragraph" w:customStyle="1" w:styleId="273">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4">
    <w:name w:val="封面_项目开发单位"/>
    <w:basedOn w:val="27"/>
    <w:qFormat/>
    <w:uiPriority w:val="99"/>
    <w:pPr>
      <w:autoSpaceDE w:val="0"/>
      <w:autoSpaceDN w:val="0"/>
      <w:adjustRightInd w:val="0"/>
      <w:spacing w:line="240" w:lineRule="atLeast"/>
      <w:ind w:firstLine="425"/>
      <w:jc w:val="center"/>
    </w:pPr>
    <w:rPr>
      <w:rFonts w:ascii="Arial" w:hAnsi="Arial" w:eastAsia="黑体"/>
      <w:b/>
      <w:color w:val="000000"/>
      <w:sz w:val="44"/>
    </w:rPr>
  </w:style>
  <w:style w:type="paragraph" w:customStyle="1" w:styleId="275">
    <w:name w:val="标题A"/>
    <w:basedOn w:val="1"/>
    <w:qFormat/>
    <w:uiPriority w:val="99"/>
    <w:pPr>
      <w:widowControl w:val="0"/>
      <w:autoSpaceDE w:val="0"/>
      <w:autoSpaceDN w:val="0"/>
      <w:adjustRightInd w:val="0"/>
      <w:ind w:left="720" w:right="-866"/>
    </w:pPr>
    <w:rPr>
      <w:rFonts w:hAnsi="Arial" w:eastAsia="黑体"/>
      <w:i/>
      <w:sz w:val="28"/>
    </w:rPr>
  </w:style>
  <w:style w:type="paragraph" w:customStyle="1" w:styleId="276">
    <w:name w:val="封面_项目建设单位"/>
    <w:basedOn w:val="27"/>
    <w:qFormat/>
    <w:uiPriority w:val="99"/>
    <w:pPr>
      <w:autoSpaceDE w:val="0"/>
      <w:autoSpaceDN w:val="0"/>
      <w:adjustRightInd w:val="0"/>
      <w:spacing w:line="240" w:lineRule="atLeast"/>
      <w:ind w:firstLine="425"/>
      <w:jc w:val="distribute"/>
    </w:pPr>
    <w:rPr>
      <w:rFonts w:ascii="Arial" w:hAnsi="Arial" w:eastAsia="黑体"/>
      <w:color w:val="000000"/>
      <w:sz w:val="32"/>
    </w:rPr>
  </w:style>
  <w:style w:type="paragraph" w:customStyle="1" w:styleId="277">
    <w:name w:val="xl4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2"/>
      <w:szCs w:val="22"/>
    </w:rPr>
  </w:style>
  <w:style w:type="paragraph" w:customStyle="1" w:styleId="278">
    <w:name w:val="3"/>
    <w:basedOn w:val="1"/>
    <w:next w:val="27"/>
    <w:qFormat/>
    <w:uiPriority w:val="99"/>
    <w:pPr>
      <w:widowControl w:val="0"/>
      <w:jc w:val="both"/>
    </w:pPr>
    <w:rPr>
      <w:rFonts w:ascii="宋体" w:hAnsi="Courier New"/>
      <w:kern w:val="2"/>
    </w:rPr>
  </w:style>
  <w:style w:type="paragraph" w:customStyle="1" w:styleId="279">
    <w:name w:val="xl74"/>
    <w:basedOn w:val="1"/>
    <w:qFormat/>
    <w:uiPriority w:val="99"/>
    <w:pPr>
      <w:spacing w:before="100" w:beforeAutospacing="1" w:after="100" w:afterAutospacing="1"/>
      <w:jc w:val="right"/>
    </w:pPr>
    <w:rPr>
      <w:rFonts w:ascii="宋体" w:hAnsi="宋体" w:cs="宋体"/>
      <w:color w:val="000000"/>
      <w:sz w:val="24"/>
      <w:szCs w:val="24"/>
    </w:rPr>
  </w:style>
  <w:style w:type="paragraph" w:customStyle="1" w:styleId="280">
    <w:name w:val="xl88"/>
    <w:basedOn w:val="1"/>
    <w:qFormat/>
    <w:uiPriority w:val="99"/>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Arial Unicode MS"/>
      <w:sz w:val="16"/>
      <w:szCs w:val="16"/>
    </w:rPr>
  </w:style>
  <w:style w:type="paragraph" w:customStyle="1" w:styleId="281">
    <w:name w:val="默认段落字体 Para Char"/>
    <w:basedOn w:val="1"/>
    <w:qFormat/>
    <w:uiPriority w:val="99"/>
    <w:pPr>
      <w:widowControl w:val="0"/>
      <w:jc w:val="both"/>
    </w:pPr>
    <w:rPr>
      <w:rFonts w:ascii="Tahoma" w:hAnsi="Tahoma"/>
      <w:kern w:val="2"/>
      <w:sz w:val="24"/>
    </w:rPr>
  </w:style>
  <w:style w:type="paragraph" w:customStyle="1" w:styleId="282">
    <w:name w:val="USE 3"/>
    <w:basedOn w:val="1"/>
    <w:qFormat/>
    <w:uiPriority w:val="99"/>
    <w:pPr>
      <w:widowControl w:val="0"/>
      <w:numPr>
        <w:ilvl w:val="2"/>
        <w:numId w:val="5"/>
      </w:numPr>
      <w:spacing w:line="360" w:lineRule="auto"/>
    </w:pPr>
    <w:rPr>
      <w:rFonts w:ascii="宋体" w:hAnsi="宋体"/>
      <w:kern w:val="2"/>
      <w:sz w:val="24"/>
    </w:rPr>
  </w:style>
  <w:style w:type="paragraph" w:customStyle="1" w:styleId="283">
    <w:name w:val="xl32"/>
    <w:basedOn w:val="1"/>
    <w:qFormat/>
    <w:uiPriority w:val="99"/>
    <w:pPr>
      <w:spacing w:before="100" w:beforeAutospacing="1" w:after="100" w:afterAutospacing="1"/>
      <w:jc w:val="center"/>
    </w:pPr>
    <w:rPr>
      <w:rFonts w:ascii="Arial Unicode MS" w:hAnsi="Arial Unicode MS" w:cs="Arial Unicode MS"/>
      <w:sz w:val="36"/>
      <w:szCs w:val="36"/>
    </w:rPr>
  </w:style>
  <w:style w:type="paragraph" w:customStyle="1" w:styleId="284">
    <w:name w:val="样式 标题 1H1h1章l1I11st levelHeading 01Header 1Header1Sec...4"/>
    <w:basedOn w:val="3"/>
    <w:qFormat/>
    <w:uiPriority w:val="99"/>
    <w:pPr>
      <w:tabs>
        <w:tab w:val="clear" w:pos="840"/>
      </w:tabs>
      <w:adjustRightInd/>
      <w:snapToGrid/>
      <w:spacing w:before="340" w:after="330" w:line="576" w:lineRule="auto"/>
    </w:pPr>
    <w:rPr>
      <w:rFonts w:ascii="黑体" w:hAnsi="黑体" w:eastAsia="黑体" w:cs="宋体"/>
      <w:b w:val="0"/>
      <w:bCs/>
      <w:sz w:val="36"/>
    </w:rPr>
  </w:style>
  <w:style w:type="paragraph" w:customStyle="1" w:styleId="285">
    <w:name w:val="章标题"/>
    <w:next w:val="7"/>
    <w:qFormat/>
    <w:uiPriority w:val="99"/>
    <w:pPr>
      <w:spacing w:beforeLines="50" w:afterLines="50"/>
      <w:ind w:left="1260"/>
      <w:outlineLvl w:val="1"/>
    </w:pPr>
    <w:rPr>
      <w:rFonts w:ascii="黑体" w:hAnsi="Times New Roman" w:eastAsia="黑体" w:cs="Times New Roman"/>
      <w:sz w:val="24"/>
      <w:lang w:val="en-US" w:eastAsia="zh-CN" w:bidi="ar-SA"/>
    </w:rPr>
  </w:style>
  <w:style w:type="paragraph" w:customStyle="1" w:styleId="286">
    <w:name w:val="样式 正文文本 2正文文字 2 + 宋体 黑色 首行缩进:  0.95 厘米 段后: 0 磅 行距: 1.5 倍行距"/>
    <w:basedOn w:val="48"/>
    <w:qFormat/>
    <w:uiPriority w:val="99"/>
    <w:pPr>
      <w:widowControl w:val="0"/>
      <w:ind w:firstLine="540" w:firstLineChars="225"/>
      <w:jc w:val="both"/>
    </w:pPr>
    <w:rPr>
      <w:rFonts w:hAnsi="Times New Roman" w:cs="宋体"/>
      <w:szCs w:val="21"/>
    </w:rPr>
  </w:style>
  <w:style w:type="paragraph" w:customStyle="1" w:styleId="287">
    <w:name w:val="xl98"/>
    <w:basedOn w:val="1"/>
    <w:qFormat/>
    <w:uiPriority w:val="99"/>
    <w:pPr>
      <w:pBdr>
        <w:top w:val="single" w:color="auto" w:sz="8" w:space="0"/>
        <w:bottom w:val="single" w:color="auto" w:sz="8" w:space="0"/>
      </w:pBdr>
      <w:spacing w:before="100" w:beforeAutospacing="1" w:after="100" w:afterAutospacing="1"/>
      <w:jc w:val="center"/>
    </w:pPr>
    <w:rPr>
      <w:rFonts w:ascii="宋体" w:hAnsi="宋体" w:cs="Arial Unicode MS"/>
      <w:sz w:val="16"/>
      <w:szCs w:val="16"/>
    </w:rPr>
  </w:style>
  <w:style w:type="paragraph" w:customStyle="1" w:styleId="288">
    <w:name w:val="xl6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289">
    <w:name w:val="Item Step in Table"/>
    <w:basedOn w:val="1"/>
    <w:qFormat/>
    <w:uiPriority w:val="99"/>
    <w:pPr>
      <w:widowControl w:val="0"/>
      <w:tabs>
        <w:tab w:val="left" w:pos="420"/>
      </w:tabs>
      <w:ind w:left="420" w:hanging="420"/>
    </w:pPr>
    <w:rPr>
      <w:kern w:val="2"/>
      <w:szCs w:val="24"/>
    </w:rPr>
  </w:style>
  <w:style w:type="paragraph" w:customStyle="1" w:styleId="290">
    <w:name w:val="Char Char Char1 Char Char Char Char"/>
    <w:basedOn w:val="1"/>
    <w:qFormat/>
    <w:uiPriority w:val="99"/>
    <w:pPr>
      <w:spacing w:after="160" w:line="240" w:lineRule="exact"/>
    </w:pPr>
    <w:rPr>
      <w:rFonts w:ascii="Verdana" w:hAnsi="Verdana" w:eastAsia="楷体_GB2312"/>
      <w:b/>
      <w:i/>
      <w:iCs/>
      <w:color w:val="000000"/>
      <w:sz w:val="20"/>
      <w:lang w:eastAsia="en-US"/>
    </w:rPr>
  </w:style>
  <w:style w:type="paragraph" w:customStyle="1" w:styleId="291">
    <w:name w:val="Char Char Char Char Char Char1 Char Char Char Char Char Char Char Char Char Char Char Char Char Char"/>
    <w:basedOn w:val="1"/>
    <w:qFormat/>
    <w:uiPriority w:val="99"/>
    <w:pPr>
      <w:spacing w:after="160" w:line="240" w:lineRule="atLeast"/>
    </w:pPr>
    <w:rPr>
      <w:rFonts w:ascii="Verdana" w:hAnsi="Verdana" w:eastAsia="仿宋_GB2312"/>
      <w:sz w:val="24"/>
      <w:lang w:eastAsia="en-US"/>
    </w:rPr>
  </w:style>
  <w:style w:type="paragraph" w:customStyle="1" w:styleId="292">
    <w:name w:val="z1"/>
    <w:basedOn w:val="1"/>
    <w:qFormat/>
    <w:uiPriority w:val="99"/>
    <w:pPr>
      <w:wordWrap w:val="0"/>
      <w:adjustRightInd w:val="0"/>
      <w:snapToGrid w:val="0"/>
      <w:spacing w:beforeLines="50" w:afterLines="50" w:line="300" w:lineRule="auto"/>
      <w:ind w:left="359" w:leftChars="171" w:firstLine="480" w:firstLineChars="200"/>
      <w:jc w:val="both"/>
    </w:pPr>
    <w:rPr>
      <w:rFonts w:ascii="Arial" w:hAnsi="Arial"/>
      <w:kern w:val="2"/>
      <w:sz w:val="24"/>
      <w:szCs w:val="21"/>
    </w:rPr>
  </w:style>
  <w:style w:type="paragraph" w:customStyle="1" w:styleId="293">
    <w:name w:val="xl99"/>
    <w:basedOn w:val="1"/>
    <w:qFormat/>
    <w:uiPriority w:val="99"/>
    <w:pPr>
      <w:pBdr>
        <w:top w:val="single" w:color="auto" w:sz="8" w:space="0"/>
        <w:bottom w:val="single" w:color="auto" w:sz="8" w:space="0"/>
        <w:right w:val="single" w:color="auto" w:sz="8" w:space="0"/>
      </w:pBdr>
      <w:spacing w:before="100" w:beforeAutospacing="1" w:after="100" w:afterAutospacing="1"/>
      <w:jc w:val="center"/>
    </w:pPr>
    <w:rPr>
      <w:rFonts w:ascii="宋体" w:hAnsi="宋体" w:cs="Arial Unicode MS"/>
      <w:sz w:val="16"/>
      <w:szCs w:val="16"/>
    </w:rPr>
  </w:style>
  <w:style w:type="character" w:customStyle="1" w:styleId="294">
    <w:name w:val="表格名称 Char"/>
    <w:link w:val="295"/>
    <w:qFormat/>
    <w:locked/>
    <w:uiPriority w:val="99"/>
    <w:rPr>
      <w:rFonts w:ascii="宋体" w:hAnsi="宋体"/>
      <w:b/>
      <w:kern w:val="0"/>
      <w:sz w:val="20"/>
      <w:szCs w:val="21"/>
    </w:rPr>
  </w:style>
  <w:style w:type="paragraph" w:customStyle="1" w:styleId="295">
    <w:name w:val="表格名称"/>
    <w:basedOn w:val="109"/>
    <w:link w:val="294"/>
    <w:qFormat/>
    <w:uiPriority w:val="99"/>
    <w:pPr>
      <w:numPr>
        <w:ilvl w:val="0"/>
        <w:numId w:val="8"/>
      </w:numPr>
      <w:spacing w:line="360" w:lineRule="auto"/>
      <w:ind w:firstLine="0" w:firstLineChars="0"/>
      <w:jc w:val="center"/>
    </w:pPr>
    <w:rPr>
      <w:rFonts w:ascii="宋体" w:hAnsi="宋体"/>
      <w:b/>
      <w:szCs w:val="21"/>
    </w:rPr>
  </w:style>
  <w:style w:type="character" w:customStyle="1" w:styleId="296">
    <w:name w:val="样式 Char"/>
    <w:link w:val="297"/>
    <w:qFormat/>
    <w:locked/>
    <w:uiPriority w:val="99"/>
    <w:rPr>
      <w:rFonts w:ascii="宋体" w:eastAsia="宋体"/>
      <w:kern w:val="2"/>
      <w:sz w:val="24"/>
      <w:lang w:val="en-US" w:eastAsia="zh-CN"/>
    </w:rPr>
  </w:style>
  <w:style w:type="paragraph" w:customStyle="1" w:styleId="297">
    <w:name w:val="样式"/>
    <w:link w:val="296"/>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paragraph" w:customStyle="1" w:styleId="298">
    <w:name w:val="样式 正文缩进表正文正文非缩进段1特点ALT+Z水上软件正文不缩进四号特点 Char CharNormal ..."/>
    <w:basedOn w:val="5"/>
    <w:qFormat/>
    <w:uiPriority w:val="99"/>
    <w:pPr>
      <w:widowControl w:val="0"/>
      <w:spacing w:line="360" w:lineRule="auto"/>
      <w:ind w:left="0" w:firstLine="560" w:firstLineChars="200"/>
      <w:jc w:val="both"/>
    </w:pPr>
    <w:rPr>
      <w:rFonts w:eastAsia="仿宋_GB2312" w:cs="宋体"/>
      <w:kern w:val="2"/>
      <w:sz w:val="24"/>
      <w:szCs w:val="24"/>
    </w:rPr>
  </w:style>
  <w:style w:type="paragraph" w:customStyle="1" w:styleId="299">
    <w:name w:val="标题 21"/>
    <w:basedOn w:val="1"/>
    <w:next w:val="1"/>
    <w:qFormat/>
    <w:uiPriority w:val="99"/>
    <w:pPr>
      <w:keepNext/>
      <w:keepLines/>
      <w:widowControl w:val="0"/>
      <w:spacing w:before="260" w:after="260" w:line="408" w:lineRule="auto"/>
      <w:jc w:val="both"/>
      <w:outlineLvl w:val="1"/>
    </w:pPr>
    <w:rPr>
      <w:rFonts w:ascii="Arial" w:hAnsi="Arial" w:eastAsia="黑体"/>
      <w:b/>
      <w:kern w:val="2"/>
      <w:sz w:val="32"/>
    </w:rPr>
  </w:style>
  <w:style w:type="paragraph" w:customStyle="1" w:styleId="300">
    <w:name w:val="xl4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301">
    <w:name w:val="xl81"/>
    <w:basedOn w:val="1"/>
    <w:qFormat/>
    <w:uiPriority w:val="99"/>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Arial Unicode MS"/>
      <w:b/>
      <w:bCs/>
      <w:sz w:val="16"/>
      <w:szCs w:val="16"/>
    </w:rPr>
  </w:style>
  <w:style w:type="paragraph" w:customStyle="1" w:styleId="302">
    <w:name w:val="xl62"/>
    <w:basedOn w:val="1"/>
    <w:qFormat/>
    <w:uiPriority w:val="99"/>
    <w:pPr>
      <w:spacing w:before="100" w:beforeAutospacing="1" w:after="100" w:afterAutospacing="1"/>
      <w:jc w:val="center"/>
    </w:pPr>
    <w:rPr>
      <w:rFonts w:ascii="宋体" w:hAnsi="宋体" w:cs="宋体"/>
      <w:b/>
      <w:bCs/>
      <w:color w:val="000000"/>
      <w:sz w:val="36"/>
      <w:szCs w:val="36"/>
    </w:rPr>
  </w:style>
  <w:style w:type="paragraph" w:customStyle="1" w:styleId="303">
    <w:name w:val="Char Char Char Char Char Char"/>
    <w:basedOn w:val="1"/>
    <w:qFormat/>
    <w:uiPriority w:val="99"/>
    <w:pPr>
      <w:widowControl w:val="0"/>
      <w:jc w:val="both"/>
    </w:pPr>
    <w:rPr>
      <w:rFonts w:ascii="Tahoma" w:hAnsi="Tahoma"/>
      <w:kern w:val="2"/>
      <w:sz w:val="24"/>
    </w:rPr>
  </w:style>
  <w:style w:type="paragraph" w:customStyle="1" w:styleId="304">
    <w:name w:val="xl30"/>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sz w:val="22"/>
      <w:szCs w:val="22"/>
    </w:rPr>
  </w:style>
  <w:style w:type="paragraph" w:customStyle="1" w:styleId="305">
    <w:name w:val="2册标题3"/>
    <w:basedOn w:val="1"/>
    <w:next w:val="1"/>
    <w:qFormat/>
    <w:uiPriority w:val="99"/>
    <w:pPr>
      <w:widowControl w:val="0"/>
      <w:spacing w:beforeLines="50" w:afterLines="50"/>
      <w:ind w:left="420" w:leftChars="200"/>
      <w:jc w:val="both"/>
      <w:outlineLvl w:val="2"/>
    </w:pPr>
    <w:rPr>
      <w:rFonts w:ascii="Arial" w:hAnsi="Arial" w:eastAsia="黑体"/>
      <w:kern w:val="2"/>
      <w:sz w:val="24"/>
      <w:szCs w:val="30"/>
    </w:rPr>
  </w:style>
  <w:style w:type="paragraph" w:customStyle="1" w:styleId="306">
    <w:name w:val="书籍标题2"/>
    <w:basedOn w:val="1"/>
    <w:qFormat/>
    <w:uiPriority w:val="99"/>
    <w:pPr>
      <w:widowControl w:val="0"/>
      <w:tabs>
        <w:tab w:val="left" w:pos="840"/>
      </w:tabs>
      <w:spacing w:beforeLines="100" w:afterLines="100"/>
      <w:ind w:left="840" w:hanging="420"/>
      <w:outlineLvl w:val="1"/>
    </w:pPr>
    <w:rPr>
      <w:b/>
      <w:bCs/>
      <w:spacing w:val="20"/>
      <w:kern w:val="2"/>
      <w:sz w:val="32"/>
    </w:rPr>
  </w:style>
  <w:style w:type="paragraph" w:customStyle="1" w:styleId="307">
    <w:name w:val="Style1"/>
    <w:basedOn w:val="3"/>
    <w:qFormat/>
    <w:uiPriority w:val="99"/>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 w:val="clear" w:pos="840"/>
      </w:tabs>
      <w:autoSpaceDE w:val="0"/>
      <w:autoSpaceDN w:val="0"/>
      <w:adjustRightInd/>
      <w:snapToGrid/>
      <w:spacing w:before="120"/>
      <w:jc w:val="center"/>
      <w:outlineLvl w:val="9"/>
    </w:pPr>
    <w:rPr>
      <w:rFonts w:ascii="Arial" w:hAnsi="Arial" w:cs="Arial"/>
      <w:b w:val="0"/>
      <w:smallCaps/>
      <w:color w:val="000000"/>
      <w:spacing w:val="24"/>
      <w:kern w:val="24"/>
    </w:rPr>
  </w:style>
  <w:style w:type="paragraph" w:customStyle="1" w:styleId="308">
    <w:name w:val="xl4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18"/>
      <w:szCs w:val="18"/>
    </w:rPr>
  </w:style>
  <w:style w:type="paragraph" w:customStyle="1" w:styleId="309">
    <w:name w:val="标题 3 + 宋体"/>
    <w:basedOn w:val="4"/>
    <w:qFormat/>
    <w:uiPriority w:val="99"/>
    <w:pPr>
      <w:widowControl w:val="0"/>
      <w:adjustRightInd/>
      <w:snapToGrid/>
      <w:spacing w:beforeLines="0" w:afterLines="0" w:line="412" w:lineRule="auto"/>
      <w:jc w:val="both"/>
    </w:pPr>
    <w:rPr>
      <w:rFonts w:hAnsi="宋体"/>
      <w:bCs/>
      <w:szCs w:val="32"/>
    </w:rPr>
  </w:style>
  <w:style w:type="paragraph" w:customStyle="1" w:styleId="310">
    <w:name w:val="Char Char2 Char Char Char Char"/>
    <w:basedOn w:val="1"/>
    <w:qFormat/>
    <w:uiPriority w:val="99"/>
    <w:pPr>
      <w:spacing w:after="160" w:line="240" w:lineRule="exact"/>
    </w:pPr>
    <w:rPr>
      <w:kern w:val="2"/>
    </w:rPr>
  </w:style>
  <w:style w:type="paragraph" w:customStyle="1" w:styleId="311">
    <w:name w:val="Y表格_正文"/>
    <w:qFormat/>
    <w:uiPriority w:val="99"/>
    <w:pPr>
      <w:widowControl w:val="0"/>
      <w:adjustRightInd w:val="0"/>
      <w:snapToGrid w:val="0"/>
      <w:spacing w:line="360" w:lineRule="auto"/>
      <w:jc w:val="center"/>
    </w:pPr>
    <w:rPr>
      <w:rFonts w:ascii="宋体" w:hAnsi="宋体" w:eastAsia="宋体" w:cs="Times New Roman"/>
      <w:sz w:val="21"/>
      <w:szCs w:val="21"/>
      <w:lang w:val="en-US" w:eastAsia="zh-CN" w:bidi="ar-SA"/>
    </w:rPr>
  </w:style>
  <w:style w:type="paragraph" w:customStyle="1" w:styleId="312">
    <w:name w:val="Char Char Char Char Char Char1 Char Char Char Char"/>
    <w:basedOn w:val="1"/>
    <w:qFormat/>
    <w:uiPriority w:val="99"/>
    <w:pPr>
      <w:tabs>
        <w:tab w:val="left" w:pos="1260"/>
      </w:tabs>
      <w:spacing w:after="160" w:line="240" w:lineRule="exact"/>
      <w:ind w:left="1260" w:hanging="525"/>
    </w:pPr>
    <w:rPr>
      <w:rFonts w:ascii="Verdana" w:hAnsi="Verdana"/>
      <w:lang w:eastAsia="en-US"/>
    </w:rPr>
  </w:style>
  <w:style w:type="character" w:customStyle="1" w:styleId="313">
    <w:name w:val="￥正文 Char"/>
    <w:link w:val="314"/>
    <w:qFormat/>
    <w:locked/>
    <w:uiPriority w:val="99"/>
    <w:rPr>
      <w:rFonts w:ascii="Calibri" w:hAnsi="Calibri"/>
      <w:sz w:val="24"/>
    </w:rPr>
  </w:style>
  <w:style w:type="paragraph" w:customStyle="1" w:styleId="314">
    <w:name w:val="￥正文"/>
    <w:basedOn w:val="1"/>
    <w:link w:val="313"/>
    <w:qFormat/>
    <w:uiPriority w:val="99"/>
    <w:pPr>
      <w:widowControl w:val="0"/>
      <w:spacing w:line="360" w:lineRule="auto"/>
      <w:ind w:firstLine="200" w:firstLineChars="200"/>
      <w:jc w:val="both"/>
    </w:pPr>
    <w:rPr>
      <w:rFonts w:ascii="Calibri" w:hAnsi="Calibri"/>
      <w:sz w:val="24"/>
    </w:rPr>
  </w:style>
  <w:style w:type="paragraph" w:customStyle="1" w:styleId="315">
    <w:name w:val="USE 4"/>
    <w:basedOn w:val="1"/>
    <w:qFormat/>
    <w:uiPriority w:val="99"/>
    <w:pPr>
      <w:widowControl w:val="0"/>
      <w:numPr>
        <w:ilvl w:val="3"/>
        <w:numId w:val="5"/>
      </w:numPr>
      <w:spacing w:line="360" w:lineRule="auto"/>
    </w:pPr>
    <w:rPr>
      <w:rFonts w:ascii="宋体" w:hAnsi="宋体"/>
      <w:kern w:val="2"/>
      <w:sz w:val="24"/>
    </w:rPr>
  </w:style>
  <w:style w:type="paragraph" w:customStyle="1" w:styleId="316">
    <w:name w:val="表身"/>
    <w:qFormat/>
    <w:uiPriority w:val="99"/>
    <w:pPr>
      <w:keepNext/>
      <w:spacing w:before="60" w:after="60" w:line="300" w:lineRule="auto"/>
      <w:jc w:val="both"/>
    </w:pPr>
    <w:rPr>
      <w:rFonts w:ascii="Times New Roman" w:hAnsi="Times New Roman" w:eastAsia="宋体" w:cs="Times New Roman"/>
      <w:sz w:val="18"/>
      <w:lang w:val="en-US" w:eastAsia="zh-CN" w:bidi="ar-SA"/>
    </w:rPr>
  </w:style>
  <w:style w:type="character" w:customStyle="1" w:styleId="317">
    <w:name w:val="段 Char"/>
    <w:link w:val="183"/>
    <w:qFormat/>
    <w:locked/>
    <w:uiPriority w:val="99"/>
    <w:rPr>
      <w:rFonts w:ascii="宋体" w:hAnsi="Times New Roman"/>
      <w:kern w:val="2"/>
      <w:sz w:val="22"/>
      <w:lang w:val="en-US" w:eastAsia="zh-CN"/>
    </w:rPr>
  </w:style>
  <w:style w:type="paragraph" w:customStyle="1" w:styleId="318">
    <w:name w:val="文档正文"/>
    <w:basedOn w:val="1"/>
    <w:qFormat/>
    <w:uiPriority w:val="99"/>
    <w:pPr>
      <w:widowControl w:val="0"/>
      <w:jc w:val="both"/>
    </w:pPr>
    <w:rPr>
      <w:rFonts w:ascii="Arial" w:hAnsi="Arial" w:cs="Arial"/>
      <w:bCs/>
      <w:kern w:val="2"/>
      <w:sz w:val="24"/>
      <w:szCs w:val="24"/>
    </w:rPr>
  </w:style>
  <w:style w:type="paragraph" w:customStyle="1" w:styleId="319">
    <w:name w:val="font14"/>
    <w:basedOn w:val="1"/>
    <w:qFormat/>
    <w:uiPriority w:val="99"/>
    <w:pPr>
      <w:spacing w:before="100" w:beforeAutospacing="1" w:after="100" w:afterAutospacing="1"/>
    </w:pPr>
    <w:rPr>
      <w:color w:val="000000"/>
      <w:sz w:val="24"/>
      <w:szCs w:val="24"/>
    </w:rPr>
  </w:style>
  <w:style w:type="paragraph" w:customStyle="1" w:styleId="320">
    <w:name w:val="xl5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2"/>
      <w:szCs w:val="22"/>
    </w:rPr>
  </w:style>
  <w:style w:type="paragraph" w:customStyle="1" w:styleId="321">
    <w:name w:val="xl101"/>
    <w:basedOn w:val="1"/>
    <w:qFormat/>
    <w:uiPriority w:val="99"/>
    <w:pPr>
      <w:pBdr>
        <w:top w:val="single" w:color="auto" w:sz="8" w:space="0"/>
        <w:bottom w:val="single" w:color="auto" w:sz="8" w:space="0"/>
        <w:right w:val="single" w:color="auto" w:sz="4" w:space="0"/>
      </w:pBdr>
      <w:spacing w:before="100" w:beforeAutospacing="1" w:after="100" w:afterAutospacing="1"/>
      <w:jc w:val="center"/>
    </w:pPr>
    <w:rPr>
      <w:rFonts w:ascii="宋体" w:hAnsi="宋体" w:cs="Arial Unicode MS"/>
      <w:sz w:val="16"/>
      <w:szCs w:val="16"/>
    </w:rPr>
  </w:style>
  <w:style w:type="character" w:customStyle="1" w:styleId="322">
    <w:name w:val="样式23 Char"/>
    <w:link w:val="323"/>
    <w:qFormat/>
    <w:locked/>
    <w:uiPriority w:val="99"/>
    <w:rPr>
      <w:rFonts w:ascii="Arial" w:hAnsi="Arial" w:eastAsia="黑体"/>
      <w:b/>
      <w:sz w:val="30"/>
    </w:rPr>
  </w:style>
  <w:style w:type="paragraph" w:customStyle="1" w:styleId="323">
    <w:name w:val="样式23"/>
    <w:basedOn w:val="1"/>
    <w:link w:val="322"/>
    <w:qFormat/>
    <w:uiPriority w:val="99"/>
    <w:pPr>
      <w:keepNext/>
      <w:keepLines/>
      <w:widowControl w:val="0"/>
      <w:tabs>
        <w:tab w:val="left" w:pos="1232"/>
      </w:tabs>
      <w:spacing w:before="280" w:after="156" w:line="376" w:lineRule="auto"/>
      <w:outlineLvl w:val="3"/>
    </w:pPr>
    <w:rPr>
      <w:rFonts w:ascii="Arial" w:hAnsi="Arial" w:eastAsia="黑体"/>
      <w:b/>
      <w:sz w:val="30"/>
    </w:rPr>
  </w:style>
  <w:style w:type="character" w:customStyle="1" w:styleId="324">
    <w:name w:val="图形名称 Char"/>
    <w:basedOn w:val="294"/>
    <w:link w:val="325"/>
    <w:qFormat/>
    <w:locked/>
    <w:uiPriority w:val="99"/>
    <w:rPr>
      <w:rFonts w:ascii="宋体" w:hAnsi="宋体"/>
      <w:kern w:val="0"/>
      <w:sz w:val="20"/>
      <w:szCs w:val="21"/>
    </w:rPr>
  </w:style>
  <w:style w:type="paragraph" w:customStyle="1" w:styleId="325">
    <w:name w:val="图形名称"/>
    <w:basedOn w:val="295"/>
    <w:link w:val="324"/>
    <w:qFormat/>
    <w:uiPriority w:val="99"/>
    <w:pPr>
      <w:numPr>
        <w:numId w:val="9"/>
      </w:numPr>
      <w:tabs>
        <w:tab w:val="left" w:pos="540"/>
      </w:tabs>
    </w:pPr>
  </w:style>
  <w:style w:type="character" w:customStyle="1" w:styleId="326">
    <w:name w:val="样式21 Char"/>
    <w:link w:val="327"/>
    <w:qFormat/>
    <w:locked/>
    <w:uiPriority w:val="99"/>
    <w:rPr>
      <w:rFonts w:ascii="Arial" w:hAnsi="Arial"/>
      <w:b/>
      <w:sz w:val="28"/>
    </w:rPr>
  </w:style>
  <w:style w:type="paragraph" w:customStyle="1" w:styleId="327">
    <w:name w:val="样式21"/>
    <w:basedOn w:val="6"/>
    <w:link w:val="326"/>
    <w:qFormat/>
    <w:uiPriority w:val="99"/>
    <w:pPr>
      <w:keepNext/>
      <w:keepLines/>
      <w:tabs>
        <w:tab w:val="clear" w:pos="851"/>
      </w:tabs>
      <w:autoSpaceDE/>
      <w:autoSpaceDN/>
      <w:adjustRightInd/>
      <w:snapToGrid/>
      <w:spacing w:before="260" w:after="260" w:line="415" w:lineRule="auto"/>
      <w:ind w:left="709" w:hanging="709"/>
    </w:pPr>
    <w:rPr>
      <w:rFonts w:ascii="Arial" w:hAnsi="Arial"/>
      <w:b/>
      <w:sz w:val="28"/>
    </w:rPr>
  </w:style>
  <w:style w:type="paragraph" w:customStyle="1" w:styleId="328">
    <w:name w:val="正文1"/>
    <w:qFormat/>
    <w:uiPriority w:val="99"/>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9">
    <w:name w:val="Char Char1 Char"/>
    <w:basedOn w:val="1"/>
    <w:qFormat/>
    <w:uiPriority w:val="99"/>
    <w:pPr>
      <w:widowControl w:val="0"/>
      <w:jc w:val="both"/>
    </w:pPr>
    <w:rPr>
      <w:kern w:val="2"/>
      <w:szCs w:val="24"/>
    </w:rPr>
  </w:style>
  <w:style w:type="character" w:customStyle="1" w:styleId="330">
    <w:name w:val="Figure Char"/>
    <w:link w:val="331"/>
    <w:qFormat/>
    <w:locked/>
    <w:uiPriority w:val="99"/>
    <w:rPr>
      <w:rFonts w:ascii="Calibri" w:hAnsi="Calibri"/>
      <w:sz w:val="24"/>
      <w:lang w:eastAsia="en-US"/>
    </w:rPr>
  </w:style>
  <w:style w:type="paragraph" w:customStyle="1" w:styleId="331">
    <w:name w:val="Figure"/>
    <w:basedOn w:val="1"/>
    <w:next w:val="332"/>
    <w:link w:val="330"/>
    <w:qFormat/>
    <w:uiPriority w:val="99"/>
    <w:pPr>
      <w:keepNext/>
      <w:keepLines/>
      <w:jc w:val="center"/>
    </w:pPr>
    <w:rPr>
      <w:rFonts w:ascii="Calibri" w:hAnsi="Calibri"/>
      <w:sz w:val="24"/>
      <w:lang w:eastAsia="en-US"/>
    </w:rPr>
  </w:style>
  <w:style w:type="paragraph" w:customStyle="1" w:styleId="332">
    <w:name w:val="Figure Description"/>
    <w:basedOn w:val="1"/>
    <w:link w:val="488"/>
    <w:qFormat/>
    <w:uiPriority w:val="99"/>
    <w:rPr>
      <w:sz w:val="20"/>
    </w:rPr>
  </w:style>
  <w:style w:type="paragraph" w:customStyle="1" w:styleId="333">
    <w:name w:val="正文11"/>
    <w:qFormat/>
    <w:uiPriority w:val="99"/>
    <w:pPr>
      <w:widowControl w:val="0"/>
      <w:adjustRightInd w:val="0"/>
      <w:spacing w:line="360" w:lineRule="atLeast"/>
      <w:jc w:val="both"/>
    </w:pPr>
    <w:rPr>
      <w:rFonts w:ascii="宋体" w:hAnsi="Times New Roman" w:eastAsia="宋体" w:cs="Times New Roman"/>
      <w:sz w:val="24"/>
      <w:lang w:val="en-US" w:eastAsia="zh-CN" w:bidi="ar-SA"/>
    </w:rPr>
  </w:style>
  <w:style w:type="paragraph" w:customStyle="1" w:styleId="334">
    <w:name w:val="font5"/>
    <w:basedOn w:val="1"/>
    <w:qFormat/>
    <w:uiPriority w:val="99"/>
    <w:pPr>
      <w:spacing w:before="100" w:beforeAutospacing="1" w:after="100" w:afterAutospacing="1"/>
    </w:pPr>
    <w:rPr>
      <w:rFonts w:ascii="宋体" w:hAnsi="宋体"/>
      <w:sz w:val="18"/>
      <w:szCs w:val="18"/>
    </w:rPr>
  </w:style>
  <w:style w:type="paragraph" w:customStyle="1" w:styleId="335">
    <w:name w:val="签名 - 公司"/>
    <w:basedOn w:val="35"/>
    <w:next w:val="271"/>
    <w:qFormat/>
    <w:uiPriority w:val="99"/>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36">
    <w:name w:val="xl53"/>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szCs w:val="21"/>
    </w:rPr>
  </w:style>
  <w:style w:type="character" w:customStyle="1" w:styleId="337">
    <w:name w:val="样式 样式 首行缩进:  2 字符 + 首行缩进:  2 字符 Char"/>
    <w:link w:val="338"/>
    <w:qFormat/>
    <w:locked/>
    <w:uiPriority w:val="99"/>
    <w:rPr>
      <w:rFonts w:ascii="仿宋_GB2312" w:eastAsia="仿宋_GB2312"/>
      <w:sz w:val="28"/>
    </w:rPr>
  </w:style>
  <w:style w:type="paragraph" w:customStyle="1" w:styleId="338">
    <w:name w:val="样式 样式 首行缩进:  2 字符 + 首行缩进:  2 字符"/>
    <w:basedOn w:val="1"/>
    <w:link w:val="337"/>
    <w:qFormat/>
    <w:uiPriority w:val="99"/>
    <w:pPr>
      <w:widowControl w:val="0"/>
      <w:spacing w:beforeLines="50" w:line="360" w:lineRule="auto"/>
      <w:ind w:firstLine="560" w:firstLineChars="200"/>
      <w:jc w:val="both"/>
    </w:pPr>
    <w:rPr>
      <w:rFonts w:ascii="仿宋_GB2312" w:hAnsi="Calibri" w:eastAsia="仿宋_GB2312"/>
      <w:sz w:val="28"/>
    </w:rPr>
  </w:style>
  <w:style w:type="paragraph" w:customStyle="1" w:styleId="339">
    <w:name w:val="正文段落"/>
    <w:basedOn w:val="1"/>
    <w:qFormat/>
    <w:uiPriority w:val="99"/>
    <w:pPr>
      <w:widowControl w:val="0"/>
      <w:ind w:firstLine="200" w:firstLineChars="200"/>
      <w:jc w:val="both"/>
    </w:pPr>
    <w:rPr>
      <w:kern w:val="2"/>
      <w:szCs w:val="24"/>
    </w:rPr>
  </w:style>
  <w:style w:type="character" w:customStyle="1" w:styleId="340">
    <w:name w:val="!aj_sol_居中_图文框 Char"/>
    <w:link w:val="341"/>
    <w:qFormat/>
    <w:locked/>
    <w:uiPriority w:val="99"/>
    <w:rPr>
      <w:rFonts w:ascii="宋体" w:hAnsi="宋体" w:eastAsia="仿宋_GB2312"/>
      <w:sz w:val="24"/>
    </w:rPr>
  </w:style>
  <w:style w:type="paragraph" w:customStyle="1" w:styleId="341">
    <w:name w:val="!aj_sol_居中_图文框"/>
    <w:basedOn w:val="1"/>
    <w:link w:val="340"/>
    <w:qFormat/>
    <w:uiPriority w:val="99"/>
    <w:pPr>
      <w:keepNext/>
      <w:widowControl w:val="0"/>
      <w:spacing w:line="360" w:lineRule="auto"/>
      <w:jc w:val="center"/>
    </w:pPr>
    <w:rPr>
      <w:rFonts w:ascii="宋体" w:hAnsi="宋体" w:eastAsia="仿宋_GB2312"/>
      <w:sz w:val="24"/>
    </w:rPr>
  </w:style>
  <w:style w:type="paragraph" w:customStyle="1" w:styleId="342">
    <w:name w:val="正文缩进HS-正文1"/>
    <w:basedOn w:val="1"/>
    <w:qFormat/>
    <w:uiPriority w:val="99"/>
    <w:pPr>
      <w:widowControl w:val="0"/>
      <w:tabs>
        <w:tab w:val="left" w:pos="0"/>
      </w:tabs>
      <w:spacing w:before="156" w:line="300" w:lineRule="auto"/>
      <w:ind w:firstLine="547" w:firstLineChars="228"/>
      <w:jc w:val="both"/>
    </w:pPr>
    <w:rPr>
      <w:rFonts w:ascii="宋体" w:hAnsi="宋体"/>
      <w:kern w:val="2"/>
      <w:sz w:val="24"/>
      <w:szCs w:val="24"/>
    </w:rPr>
  </w:style>
  <w:style w:type="paragraph" w:customStyle="1" w:styleId="343">
    <w:name w:val="投标文件2"/>
    <w:basedOn w:val="1"/>
    <w:qFormat/>
    <w:uiPriority w:val="99"/>
    <w:pPr>
      <w:widowControl w:val="0"/>
      <w:spacing w:line="480" w:lineRule="auto"/>
      <w:ind w:left="1134"/>
      <w:jc w:val="center"/>
      <w:outlineLvl w:val="0"/>
    </w:pPr>
    <w:rPr>
      <w:rFonts w:ascii="宋体"/>
      <w:b/>
      <w:kern w:val="2"/>
      <w:sz w:val="30"/>
    </w:rPr>
  </w:style>
  <w:style w:type="paragraph" w:customStyle="1" w:styleId="344">
    <w:name w:val="样式2"/>
    <w:basedOn w:val="4"/>
    <w:qFormat/>
    <w:uiPriority w:val="99"/>
    <w:pPr>
      <w:keepLines w:val="0"/>
      <w:widowControl w:val="0"/>
      <w:adjustRightInd/>
      <w:snapToGrid/>
      <w:spacing w:beforeLines="0" w:afterLines="0" w:line="360" w:lineRule="auto"/>
      <w:ind w:left="567" w:hanging="567"/>
      <w:jc w:val="left"/>
    </w:pPr>
    <w:rPr>
      <w:rFonts w:hAnsi="宋体"/>
      <w:kern w:val="2"/>
      <w:sz w:val="32"/>
      <w:szCs w:val="24"/>
    </w:rPr>
  </w:style>
  <w:style w:type="paragraph" w:customStyle="1" w:styleId="345">
    <w:name w:val="_Style 69"/>
    <w:basedOn w:val="17"/>
    <w:qFormat/>
    <w:uiPriority w:val="99"/>
    <w:pPr>
      <w:widowControl w:val="0"/>
      <w:shd w:val="clear" w:color="auto" w:fill="auto"/>
      <w:jc w:val="both"/>
    </w:pPr>
    <w:rPr>
      <w:rFonts w:ascii="宋体" w:hAnsi="宋体" w:cs="宋体"/>
      <w:kern w:val="2"/>
      <w:sz w:val="24"/>
      <w:szCs w:val="18"/>
    </w:rPr>
  </w:style>
  <w:style w:type="paragraph" w:customStyle="1" w:styleId="346">
    <w:name w:val="msoacetate"/>
    <w:basedOn w:val="1"/>
    <w:qFormat/>
    <w:uiPriority w:val="99"/>
    <w:pPr>
      <w:widowControl w:val="0"/>
      <w:jc w:val="both"/>
    </w:pPr>
    <w:rPr>
      <w:kern w:val="2"/>
      <w:sz w:val="18"/>
      <w:szCs w:val="18"/>
    </w:rPr>
  </w:style>
  <w:style w:type="paragraph" w:customStyle="1" w:styleId="347">
    <w:name w:val="xl22"/>
    <w:basedOn w:val="1"/>
    <w:qFormat/>
    <w:uiPriority w:val="99"/>
    <w:pPr>
      <w:spacing w:before="100" w:beforeAutospacing="1" w:after="100" w:afterAutospacing="1"/>
      <w:jc w:val="center"/>
    </w:pPr>
    <w:rPr>
      <w:rFonts w:ascii="Arial Unicode MS" w:hAnsi="Arial Unicode MS"/>
      <w:sz w:val="24"/>
      <w:szCs w:val="24"/>
    </w:rPr>
  </w:style>
  <w:style w:type="paragraph" w:customStyle="1" w:styleId="348">
    <w:name w:val="xl34"/>
    <w:basedOn w:val="1"/>
    <w:qFormat/>
    <w:uiPriority w:val="99"/>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cs="Arial Unicode MS"/>
      <w:szCs w:val="21"/>
    </w:rPr>
  </w:style>
  <w:style w:type="paragraph" w:customStyle="1" w:styleId="349">
    <w:name w:val="书籍标题3"/>
    <w:basedOn w:val="306"/>
    <w:qFormat/>
    <w:uiPriority w:val="99"/>
    <w:pPr>
      <w:tabs>
        <w:tab w:val="left" w:pos="1260"/>
        <w:tab w:val="clear" w:pos="840"/>
      </w:tabs>
      <w:ind w:left="1260"/>
      <w:outlineLvl w:val="2"/>
    </w:pPr>
    <w:rPr>
      <w:sz w:val="28"/>
      <w:szCs w:val="28"/>
    </w:rPr>
  </w:style>
  <w:style w:type="paragraph" w:customStyle="1" w:styleId="350">
    <w:name w:val="xl8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cs="Arial Unicode MS"/>
      <w:b/>
      <w:bCs/>
      <w:sz w:val="16"/>
      <w:szCs w:val="16"/>
    </w:rPr>
  </w:style>
  <w:style w:type="paragraph" w:customStyle="1" w:styleId="351">
    <w:name w:val="封面1"/>
    <w:basedOn w:val="36"/>
    <w:qFormat/>
    <w:uiPriority w:val="99"/>
    <w:pPr>
      <w:widowControl w:val="0"/>
      <w:tabs>
        <w:tab w:val="left" w:pos="840"/>
        <w:tab w:val="right" w:leader="dot" w:pos="8296"/>
        <w:tab w:val="clear" w:pos="9499"/>
      </w:tabs>
      <w:spacing w:before="120" w:after="120"/>
      <w:ind w:firstLine="425"/>
      <w:jc w:val="center"/>
    </w:pPr>
    <w:rPr>
      <w:rFonts w:ascii="黑体" w:hAnsi="Times New Roman" w:eastAsia="黑体" w:cs="Times New Roman"/>
      <w:b w:val="0"/>
      <w:bCs w:val="0"/>
      <w:caps/>
      <w:spacing w:val="50"/>
      <w:kern w:val="2"/>
      <w:sz w:val="52"/>
      <w:szCs w:val="24"/>
    </w:rPr>
  </w:style>
  <w:style w:type="character" w:customStyle="1" w:styleId="352">
    <w:name w:val="表格正文 Char"/>
    <w:link w:val="353"/>
    <w:qFormat/>
    <w:locked/>
    <w:uiPriority w:val="99"/>
    <w:rPr>
      <w:rFonts w:ascii="楷体_GB2312" w:eastAsia="楷体_GB2312"/>
      <w:sz w:val="24"/>
    </w:rPr>
  </w:style>
  <w:style w:type="paragraph" w:customStyle="1" w:styleId="353">
    <w:name w:val="表格正文"/>
    <w:basedOn w:val="1"/>
    <w:link w:val="352"/>
    <w:qFormat/>
    <w:uiPriority w:val="99"/>
    <w:pPr>
      <w:widowControl w:val="0"/>
      <w:spacing w:line="240" w:lineRule="atLeast"/>
      <w:jc w:val="both"/>
    </w:pPr>
    <w:rPr>
      <w:rFonts w:ascii="楷体_GB2312" w:hAnsi="Calibri" w:eastAsia="楷体_GB2312"/>
      <w:sz w:val="24"/>
    </w:rPr>
  </w:style>
  <w:style w:type="paragraph" w:customStyle="1" w:styleId="354">
    <w:name w:val="font0"/>
    <w:basedOn w:val="1"/>
    <w:qFormat/>
    <w:uiPriority w:val="99"/>
    <w:pPr>
      <w:spacing w:before="100" w:beforeAutospacing="1" w:after="100" w:afterAutospacing="1"/>
    </w:pPr>
    <w:rPr>
      <w:rFonts w:ascii="宋体" w:hAnsi="宋体"/>
      <w:sz w:val="24"/>
      <w:szCs w:val="24"/>
    </w:rPr>
  </w:style>
  <w:style w:type="paragraph" w:customStyle="1" w:styleId="355">
    <w:name w:val="正文缩进2"/>
    <w:basedOn w:val="1"/>
    <w:qFormat/>
    <w:uiPriority w:val="99"/>
    <w:pPr>
      <w:widowControl w:val="0"/>
      <w:ind w:firstLine="420"/>
      <w:jc w:val="both"/>
    </w:pPr>
    <w:rPr>
      <w:rFonts w:ascii="宋体" w:hAnsi="宋体"/>
      <w:kern w:val="2"/>
    </w:rPr>
  </w:style>
  <w:style w:type="paragraph" w:customStyle="1" w:styleId="356">
    <w:name w:val="xl2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2"/>
      <w:szCs w:val="22"/>
    </w:rPr>
  </w:style>
  <w:style w:type="paragraph" w:customStyle="1" w:styleId="357">
    <w:name w:val="xl48"/>
    <w:basedOn w:val="1"/>
    <w:qFormat/>
    <w:uiPriority w:val="99"/>
    <w:pPr>
      <w:spacing w:before="100" w:beforeAutospacing="1" w:after="100" w:afterAutospacing="1"/>
      <w:jc w:val="center"/>
    </w:pPr>
    <w:rPr>
      <w:rFonts w:ascii="宋体" w:hAnsi="宋体" w:cs="宋体"/>
      <w:b/>
      <w:bCs/>
      <w:color w:val="000000"/>
      <w:sz w:val="22"/>
      <w:szCs w:val="22"/>
    </w:rPr>
  </w:style>
  <w:style w:type="character" w:customStyle="1" w:styleId="358">
    <w:name w:val="List Paragraph Char"/>
    <w:link w:val="359"/>
    <w:qFormat/>
    <w:locked/>
    <w:uiPriority w:val="99"/>
  </w:style>
  <w:style w:type="paragraph" w:customStyle="1" w:styleId="359">
    <w:name w:val="列出段落3"/>
    <w:basedOn w:val="1"/>
    <w:link w:val="358"/>
    <w:qFormat/>
    <w:uiPriority w:val="99"/>
    <w:pPr>
      <w:widowControl w:val="0"/>
      <w:ind w:firstLine="420" w:firstLineChars="200"/>
      <w:jc w:val="both"/>
    </w:pPr>
    <w:rPr>
      <w:rFonts w:ascii="Calibri" w:hAnsi="Calibri"/>
      <w:kern w:val="2"/>
      <w:szCs w:val="22"/>
    </w:rPr>
  </w:style>
  <w:style w:type="paragraph" w:customStyle="1" w:styleId="360">
    <w:name w:val="Char Char8 Char Char"/>
    <w:basedOn w:val="1"/>
    <w:qFormat/>
    <w:uiPriority w:val="99"/>
    <w:pPr>
      <w:spacing w:after="160" w:line="240" w:lineRule="exact"/>
    </w:pPr>
    <w:rPr>
      <w:kern w:val="2"/>
    </w:rPr>
  </w:style>
  <w:style w:type="paragraph" w:customStyle="1" w:styleId="361">
    <w:name w:val="xl106"/>
    <w:basedOn w:val="1"/>
    <w:qFormat/>
    <w:uiPriority w:val="99"/>
    <w:pPr>
      <w:pBdr>
        <w:bottom w:val="single" w:color="auto" w:sz="8" w:space="0"/>
      </w:pBdr>
      <w:spacing w:before="100" w:beforeAutospacing="1" w:after="100" w:afterAutospacing="1"/>
      <w:jc w:val="center"/>
    </w:pPr>
    <w:rPr>
      <w:rFonts w:ascii="Arial Unicode MS" w:hAnsi="Arial Unicode MS" w:cs="Arial Unicode MS"/>
      <w:sz w:val="16"/>
      <w:szCs w:val="16"/>
    </w:rPr>
  </w:style>
  <w:style w:type="paragraph" w:customStyle="1" w:styleId="362">
    <w:name w:val="Blockquote"/>
    <w:basedOn w:val="1"/>
    <w:qFormat/>
    <w:uiPriority w:val="99"/>
    <w:pPr>
      <w:widowControl w:val="0"/>
      <w:autoSpaceDE w:val="0"/>
      <w:autoSpaceDN w:val="0"/>
      <w:adjustRightInd w:val="0"/>
      <w:spacing w:before="100" w:after="100"/>
      <w:ind w:left="360" w:right="360"/>
    </w:pPr>
    <w:rPr>
      <w:sz w:val="24"/>
    </w:rPr>
  </w:style>
  <w:style w:type="paragraph" w:customStyle="1" w:styleId="363">
    <w:name w:val="样式 标题 2H2sect 1.2HD2h2Level 2 Topic Heading2Header 2head..."/>
    <w:basedOn w:val="4"/>
    <w:qFormat/>
    <w:uiPriority w:val="99"/>
    <w:pPr>
      <w:widowControl w:val="0"/>
      <w:adjustRightInd/>
      <w:snapToGrid/>
      <w:spacing w:beforeLines="0" w:afterLines="0" w:line="412" w:lineRule="auto"/>
      <w:jc w:val="both"/>
    </w:pPr>
    <w:rPr>
      <w:rFonts w:ascii="Times New Roman" w:hAnsi="Times New Roman" w:eastAsia="黑体"/>
      <w:b w:val="0"/>
      <w:bCs/>
      <w:kern w:val="2"/>
      <w:sz w:val="30"/>
      <w:szCs w:val="30"/>
    </w:rPr>
  </w:style>
  <w:style w:type="paragraph" w:customStyle="1" w:styleId="364">
    <w:name w:val="xl102"/>
    <w:basedOn w:val="1"/>
    <w:qFormat/>
    <w:uiPriority w:val="99"/>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宋体" w:hAnsi="宋体" w:cs="Arial Unicode MS"/>
      <w:sz w:val="16"/>
      <w:szCs w:val="16"/>
    </w:rPr>
  </w:style>
  <w:style w:type="paragraph" w:customStyle="1" w:styleId="365">
    <w:name w:val="cauc-0"/>
    <w:qFormat/>
    <w:uiPriority w:val="99"/>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366">
    <w:name w:val="题注5"/>
    <w:basedOn w:val="1"/>
    <w:next w:val="15"/>
    <w:qFormat/>
    <w:uiPriority w:val="99"/>
    <w:pPr>
      <w:widowControl w:val="0"/>
      <w:jc w:val="center"/>
    </w:pPr>
    <w:rPr>
      <w:b/>
      <w:color w:val="000000"/>
      <w:kern w:val="2"/>
      <w:sz w:val="24"/>
      <w:szCs w:val="21"/>
    </w:rPr>
  </w:style>
  <w:style w:type="paragraph" w:customStyle="1" w:styleId="367">
    <w:name w:val="Char Char Char Char Char Char Char Char Char Char Char Char Char Char Char Char"/>
    <w:basedOn w:val="1"/>
    <w:qFormat/>
    <w:uiPriority w:val="99"/>
    <w:pPr>
      <w:spacing w:after="160" w:line="240" w:lineRule="exact"/>
    </w:pPr>
    <w:rPr>
      <w:rFonts w:ascii="Verdana" w:hAnsi="Verdana" w:eastAsia="仿宋_GB2312"/>
      <w:sz w:val="24"/>
      <w:lang w:eastAsia="en-US"/>
    </w:rPr>
  </w:style>
  <w:style w:type="paragraph" w:customStyle="1" w:styleId="368">
    <w:name w:val="xl85"/>
    <w:basedOn w:val="1"/>
    <w:qFormat/>
    <w:uiPriority w:val="99"/>
    <w:pPr>
      <w:pBdr>
        <w:top w:val="single" w:color="auto" w:sz="4" w:space="0"/>
        <w:left w:val="single" w:color="auto" w:sz="8" w:space="0"/>
        <w:bottom w:val="single" w:color="auto" w:sz="4" w:space="0"/>
        <w:right w:val="single" w:color="auto" w:sz="8" w:space="0"/>
      </w:pBdr>
      <w:shd w:val="clear" w:color="auto" w:fill="FFFF00"/>
      <w:spacing w:before="100" w:beforeAutospacing="1" w:after="100" w:afterAutospacing="1"/>
      <w:jc w:val="center"/>
    </w:pPr>
    <w:rPr>
      <w:rFonts w:ascii="宋体" w:hAnsi="宋体" w:cs="Arial Unicode MS"/>
      <w:sz w:val="16"/>
      <w:szCs w:val="16"/>
    </w:rPr>
  </w:style>
  <w:style w:type="paragraph" w:customStyle="1" w:styleId="369">
    <w:name w:val="表格内容"/>
    <w:basedOn w:val="1"/>
    <w:next w:val="1"/>
    <w:qFormat/>
    <w:uiPriority w:val="99"/>
    <w:pPr>
      <w:widowControl w:val="0"/>
      <w:spacing w:line="312" w:lineRule="auto"/>
      <w:jc w:val="both"/>
    </w:pPr>
    <w:rPr>
      <w:rFonts w:ascii="宋体"/>
      <w:kern w:val="2"/>
    </w:rPr>
  </w:style>
  <w:style w:type="paragraph" w:customStyle="1" w:styleId="370">
    <w:name w:val="xl89"/>
    <w:basedOn w:val="1"/>
    <w:qFormat/>
    <w:uiPriority w:val="99"/>
    <w:pPr>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center"/>
    </w:pPr>
    <w:rPr>
      <w:rFonts w:ascii="宋体" w:hAnsi="宋体" w:cs="Arial Unicode MS"/>
      <w:sz w:val="16"/>
      <w:szCs w:val="16"/>
    </w:rPr>
  </w:style>
  <w:style w:type="paragraph" w:customStyle="1" w:styleId="371">
    <w:name w:val="_Style 53"/>
    <w:basedOn w:val="1"/>
    <w:qFormat/>
    <w:uiPriority w:val="99"/>
    <w:pPr>
      <w:widowControl w:val="0"/>
      <w:jc w:val="both"/>
    </w:pPr>
  </w:style>
  <w:style w:type="paragraph" w:customStyle="1" w:styleId="372">
    <w:name w:val="样式 首行缩进:  2 字符"/>
    <w:basedOn w:val="1"/>
    <w:qFormat/>
    <w:uiPriority w:val="99"/>
    <w:pPr>
      <w:widowControl w:val="0"/>
      <w:spacing w:line="360" w:lineRule="auto"/>
      <w:ind w:firstLine="480" w:firstLineChars="200"/>
      <w:jc w:val="both"/>
    </w:pPr>
    <w:rPr>
      <w:rFonts w:eastAsia="仿宋_GB2312" w:cs="宋体"/>
      <w:kern w:val="2"/>
      <w:sz w:val="28"/>
    </w:rPr>
  </w:style>
  <w:style w:type="character" w:customStyle="1" w:styleId="373">
    <w:name w:val="my正文 Char"/>
    <w:link w:val="374"/>
    <w:qFormat/>
    <w:locked/>
    <w:uiPriority w:val="99"/>
    <w:rPr>
      <w:rFonts w:ascii="宋体" w:hAnsi="宋体" w:eastAsia="宋体"/>
      <w:sz w:val="24"/>
    </w:rPr>
  </w:style>
  <w:style w:type="paragraph" w:customStyle="1" w:styleId="374">
    <w:name w:val="my正文"/>
    <w:basedOn w:val="22"/>
    <w:link w:val="373"/>
    <w:qFormat/>
    <w:uiPriority w:val="99"/>
    <w:pPr>
      <w:widowControl w:val="0"/>
      <w:spacing w:beforeLines="50" w:after="0" w:line="360" w:lineRule="auto"/>
      <w:ind w:left="0" w:leftChars="0" w:firstLine="540" w:firstLineChars="225"/>
      <w:jc w:val="both"/>
    </w:pPr>
    <w:rPr>
      <w:rFonts w:ascii="宋体" w:hAnsi="宋体"/>
      <w:sz w:val="24"/>
    </w:rPr>
  </w:style>
  <w:style w:type="paragraph" w:customStyle="1" w:styleId="375">
    <w:name w:val="Default Paragraph Font Para Char"/>
    <w:basedOn w:val="1"/>
    <w:qFormat/>
    <w:uiPriority w:val="99"/>
    <w:pPr>
      <w:spacing w:after="160" w:line="240" w:lineRule="exact"/>
    </w:pPr>
    <w:rPr>
      <w:rFonts w:ascii="Verdana" w:hAnsi="Verdana"/>
      <w:sz w:val="20"/>
      <w:lang w:eastAsia="en-US"/>
    </w:rPr>
  </w:style>
  <w:style w:type="paragraph" w:customStyle="1" w:styleId="376">
    <w:name w:val="Table Heading"/>
    <w:basedOn w:val="1"/>
    <w:qFormat/>
    <w:uiPriority w:val="99"/>
    <w:pPr>
      <w:jc w:val="center"/>
    </w:pPr>
    <w:rPr>
      <w:rFonts w:ascii="Arial" w:hAnsi="Arial"/>
      <w:b/>
      <w:sz w:val="18"/>
    </w:rPr>
  </w:style>
  <w:style w:type="paragraph" w:customStyle="1" w:styleId="377">
    <w:name w:val="xl76"/>
    <w:basedOn w:val="1"/>
    <w:qFormat/>
    <w:uiPriority w:val="99"/>
    <w:pPr>
      <w:pBdr>
        <w:top w:val="single" w:color="auto" w:sz="4" w:space="0"/>
        <w:left w:val="single" w:color="auto" w:sz="8" w:space="0"/>
        <w:bottom w:val="single" w:color="auto" w:sz="4" w:space="0"/>
      </w:pBdr>
      <w:spacing w:before="100" w:beforeAutospacing="1" w:after="100" w:afterAutospacing="1"/>
    </w:pPr>
    <w:rPr>
      <w:rFonts w:ascii="宋体" w:hAnsi="宋体" w:cs="Arial Unicode MS"/>
      <w:b/>
      <w:bCs/>
      <w:sz w:val="16"/>
      <w:szCs w:val="16"/>
    </w:rPr>
  </w:style>
  <w:style w:type="paragraph" w:customStyle="1" w:styleId="378">
    <w:name w:val="Char Char2"/>
    <w:basedOn w:val="1"/>
    <w:qFormat/>
    <w:uiPriority w:val="99"/>
    <w:pPr>
      <w:widowControl w:val="0"/>
      <w:jc w:val="both"/>
    </w:pPr>
  </w:style>
  <w:style w:type="paragraph" w:customStyle="1" w:styleId="379">
    <w:name w:val="图表"/>
    <w:basedOn w:val="1"/>
    <w:qFormat/>
    <w:uiPriority w:val="99"/>
    <w:pPr>
      <w:widowControl w:val="0"/>
      <w:jc w:val="both"/>
    </w:pPr>
    <w:rPr>
      <w:rFonts w:ascii="宋体" w:hAnsi="宋体"/>
      <w:kern w:val="2"/>
      <w:sz w:val="18"/>
      <w:szCs w:val="18"/>
    </w:rPr>
  </w:style>
  <w:style w:type="paragraph" w:customStyle="1" w:styleId="380">
    <w:name w:val="xl87"/>
    <w:basedOn w:val="1"/>
    <w:qFormat/>
    <w:uiPriority w:val="99"/>
    <w:pPr>
      <w:pBdr>
        <w:top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Arial Unicode MS"/>
      <w:sz w:val="16"/>
      <w:szCs w:val="16"/>
    </w:rPr>
  </w:style>
  <w:style w:type="paragraph" w:customStyle="1" w:styleId="381">
    <w:name w:val="p0"/>
    <w:basedOn w:val="1"/>
    <w:qFormat/>
    <w:uiPriority w:val="99"/>
    <w:pPr>
      <w:jc w:val="both"/>
    </w:pPr>
    <w:rPr>
      <w:szCs w:val="21"/>
    </w:rPr>
  </w:style>
  <w:style w:type="paragraph" w:customStyle="1" w:styleId="382">
    <w:name w:val="QB表内文字"/>
    <w:basedOn w:val="7"/>
    <w:qFormat/>
    <w:uiPriority w:val="99"/>
    <w:pPr>
      <w:adjustRightInd/>
      <w:snapToGrid/>
      <w:spacing w:line="240" w:lineRule="auto"/>
      <w:ind w:left="0" w:firstLine="0"/>
      <w:outlineLvl w:val="9"/>
    </w:pPr>
    <w:rPr>
      <w:rFonts w:hAnsi="Times New Roman"/>
      <w:color w:val="auto"/>
    </w:rPr>
  </w:style>
  <w:style w:type="paragraph" w:customStyle="1" w:styleId="383">
    <w:name w:val="Figure title"/>
    <w:basedOn w:val="1"/>
    <w:next w:val="1"/>
    <w:qFormat/>
    <w:uiPriority w:val="99"/>
    <w:pPr>
      <w:suppressAutoHyphens/>
      <w:spacing w:before="220" w:after="220" w:line="230" w:lineRule="atLeast"/>
      <w:jc w:val="center"/>
    </w:pPr>
    <w:rPr>
      <w:rFonts w:ascii="Arial" w:hAnsi="Arial"/>
      <w:b/>
      <w:sz w:val="20"/>
      <w:lang w:val="en-GB"/>
    </w:rPr>
  </w:style>
  <w:style w:type="paragraph" w:customStyle="1" w:styleId="384">
    <w:name w:val="Char2"/>
    <w:basedOn w:val="1"/>
    <w:qFormat/>
    <w:uiPriority w:val="99"/>
    <w:pPr>
      <w:spacing w:after="160" w:line="240" w:lineRule="exact"/>
    </w:pPr>
    <w:rPr>
      <w:rFonts w:ascii="Verdana" w:hAnsi="Verdana"/>
      <w:lang w:eastAsia="en-US"/>
    </w:rPr>
  </w:style>
  <w:style w:type="paragraph" w:customStyle="1" w:styleId="385">
    <w:name w:val="xl95"/>
    <w:basedOn w:val="1"/>
    <w:qFormat/>
    <w:uiPriority w:val="99"/>
    <w:pPr>
      <w:pBdr>
        <w:top w:val="single" w:color="auto" w:sz="4" w:space="0"/>
        <w:left w:val="single" w:color="auto" w:sz="4" w:space="0"/>
        <w:bottom w:val="single" w:color="auto" w:sz="8" w:space="0"/>
        <w:right w:val="single" w:color="auto" w:sz="4" w:space="0"/>
      </w:pBdr>
      <w:spacing w:before="100" w:beforeAutospacing="1" w:after="100" w:afterAutospacing="1"/>
    </w:pPr>
    <w:rPr>
      <w:rFonts w:ascii="Arial Unicode MS" w:hAnsi="Arial Unicode MS" w:cs="Arial Unicode MS"/>
      <w:color w:val="FF0000"/>
      <w:sz w:val="16"/>
      <w:szCs w:val="16"/>
    </w:rPr>
  </w:style>
  <w:style w:type="paragraph" w:customStyle="1" w:styleId="386">
    <w:name w:val="图名"/>
    <w:basedOn w:val="5"/>
    <w:qFormat/>
    <w:uiPriority w:val="99"/>
    <w:pPr>
      <w:widowControl w:val="0"/>
      <w:spacing w:line="360" w:lineRule="auto"/>
      <w:ind w:left="0" w:firstLine="425"/>
      <w:jc w:val="both"/>
    </w:pPr>
    <w:rPr>
      <w:kern w:val="2"/>
      <w:sz w:val="24"/>
    </w:rPr>
  </w:style>
  <w:style w:type="paragraph" w:customStyle="1" w:styleId="387">
    <w:name w:val="样式 标题 2H2sect 1.2HD2h2Level 2 Topic Heading2Header 2head...2"/>
    <w:basedOn w:val="4"/>
    <w:qFormat/>
    <w:uiPriority w:val="99"/>
    <w:pPr>
      <w:widowControl w:val="0"/>
      <w:adjustRightInd/>
      <w:snapToGrid/>
      <w:spacing w:beforeLines="0" w:afterLines="0" w:line="412" w:lineRule="auto"/>
      <w:jc w:val="both"/>
    </w:pPr>
    <w:rPr>
      <w:rFonts w:ascii="黑体" w:hAnsi="黑体" w:eastAsia="黑体"/>
      <w:bCs/>
      <w:kern w:val="2"/>
      <w:sz w:val="30"/>
      <w:szCs w:val="30"/>
    </w:rPr>
  </w:style>
  <w:style w:type="paragraph" w:customStyle="1" w:styleId="388">
    <w:name w:val="xl3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0"/>
    </w:rPr>
  </w:style>
  <w:style w:type="paragraph" w:customStyle="1" w:styleId="389">
    <w:name w:val="_Style 2"/>
    <w:basedOn w:val="1"/>
    <w:qFormat/>
    <w:uiPriority w:val="99"/>
    <w:pPr>
      <w:ind w:firstLine="420" w:firstLineChars="200"/>
    </w:pPr>
    <w:rPr>
      <w:rFonts w:ascii="Calibri" w:hAnsi="Calibri"/>
      <w:szCs w:val="22"/>
    </w:rPr>
  </w:style>
  <w:style w:type="paragraph" w:customStyle="1" w:styleId="390">
    <w:name w:val="编号3级"/>
    <w:qFormat/>
    <w:uiPriority w:val="99"/>
    <w:pPr>
      <w:numPr>
        <w:ilvl w:val="2"/>
        <w:numId w:val="2"/>
      </w:numPr>
      <w:spacing w:line="360" w:lineRule="auto"/>
    </w:pPr>
    <w:rPr>
      <w:rFonts w:ascii="Times New Roman" w:hAnsi="Times New Roman" w:eastAsia="宋体" w:cs="Times New Roman"/>
      <w:kern w:val="24"/>
      <w:sz w:val="24"/>
      <w:szCs w:val="18"/>
      <w:lang w:val="en-US" w:eastAsia="zh-CN" w:bidi="ar-SA"/>
    </w:rPr>
  </w:style>
  <w:style w:type="paragraph" w:customStyle="1" w:styleId="391">
    <w:name w:val="表1"/>
    <w:basedOn w:val="1"/>
    <w:qFormat/>
    <w:uiPriority w:val="99"/>
    <w:pPr>
      <w:widowControl w:val="0"/>
      <w:tabs>
        <w:tab w:val="left" w:pos="1869"/>
      </w:tabs>
      <w:autoSpaceDE w:val="0"/>
      <w:autoSpaceDN w:val="0"/>
      <w:adjustRightInd w:val="0"/>
      <w:jc w:val="both"/>
    </w:pPr>
    <w:rPr>
      <w:rFonts w:ascii="宋体"/>
      <w:kern w:val="2"/>
      <w:sz w:val="24"/>
      <w:szCs w:val="24"/>
    </w:rPr>
  </w:style>
  <w:style w:type="paragraph" w:customStyle="1" w:styleId="392">
    <w:name w:val="样式 标题 5 + 宋体"/>
    <w:basedOn w:val="8"/>
    <w:qFormat/>
    <w:uiPriority w:val="99"/>
    <w:pPr>
      <w:keepLines/>
      <w:tabs>
        <w:tab w:val="left" w:pos="948"/>
        <w:tab w:val="clear" w:pos="1008"/>
      </w:tabs>
      <w:autoSpaceDE/>
      <w:autoSpaceDN/>
      <w:adjustRightInd/>
      <w:snapToGrid/>
      <w:spacing w:line="360" w:lineRule="auto"/>
      <w:ind w:left="948" w:hanging="360"/>
    </w:pPr>
    <w:rPr>
      <w:rFonts w:hAnsi="宋体"/>
      <w:bCs/>
      <w:color w:val="auto"/>
      <w:spacing w:val="20"/>
      <w:kern w:val="2"/>
      <w:sz w:val="24"/>
      <w:szCs w:val="28"/>
    </w:rPr>
  </w:style>
  <w:style w:type="paragraph" w:customStyle="1" w:styleId="393">
    <w:name w:val="缺省文本"/>
    <w:basedOn w:val="1"/>
    <w:qFormat/>
    <w:uiPriority w:val="99"/>
    <w:pPr>
      <w:widowControl w:val="0"/>
      <w:autoSpaceDE w:val="0"/>
      <w:autoSpaceDN w:val="0"/>
      <w:adjustRightInd w:val="0"/>
    </w:pPr>
    <w:rPr>
      <w:sz w:val="24"/>
    </w:rPr>
  </w:style>
  <w:style w:type="paragraph" w:customStyle="1" w:styleId="394">
    <w:name w:val="xl3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395">
    <w:name w:val="编号1"/>
    <w:basedOn w:val="1"/>
    <w:qFormat/>
    <w:uiPriority w:val="99"/>
    <w:pPr>
      <w:widowControl w:val="0"/>
      <w:numPr>
        <w:ilvl w:val="0"/>
        <w:numId w:val="10"/>
      </w:numPr>
      <w:tabs>
        <w:tab w:val="left" w:pos="360"/>
      </w:tabs>
      <w:adjustRightInd w:val="0"/>
      <w:snapToGrid w:val="0"/>
      <w:spacing w:line="300" w:lineRule="auto"/>
      <w:ind w:right="210"/>
      <w:jc w:val="both"/>
    </w:pPr>
    <w:rPr>
      <w:rFonts w:ascii="宋体" w:hAnsi="宋体"/>
      <w:spacing w:val="10"/>
      <w:kern w:val="24"/>
      <w:szCs w:val="24"/>
    </w:rPr>
  </w:style>
  <w:style w:type="paragraph" w:customStyle="1" w:styleId="396">
    <w:name w:val="xl103"/>
    <w:basedOn w:val="1"/>
    <w:qFormat/>
    <w:uiPriority w:val="99"/>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宋体" w:hAnsi="宋体" w:cs="Arial Unicode MS"/>
      <w:sz w:val="16"/>
      <w:szCs w:val="16"/>
    </w:rPr>
  </w:style>
  <w:style w:type="character" w:customStyle="1" w:styleId="397">
    <w:name w:val="xl51 Char"/>
    <w:link w:val="398"/>
    <w:qFormat/>
    <w:locked/>
    <w:uiPriority w:val="99"/>
    <w:rPr>
      <w:rFonts w:ascii="Arial" w:hAnsi="Arial"/>
      <w:sz w:val="21"/>
    </w:rPr>
  </w:style>
  <w:style w:type="paragraph" w:customStyle="1" w:styleId="398">
    <w:name w:val="xl51"/>
    <w:basedOn w:val="1"/>
    <w:link w:val="397"/>
    <w:qFormat/>
    <w:uiPriority w:val="99"/>
    <w:pPr>
      <w:pBdr>
        <w:bottom w:val="single" w:color="auto" w:sz="4" w:space="0"/>
        <w:right w:val="single" w:color="auto" w:sz="4" w:space="0"/>
      </w:pBdr>
      <w:spacing w:before="100" w:beforeAutospacing="1" w:after="100" w:afterAutospacing="1"/>
      <w:jc w:val="both"/>
    </w:pPr>
    <w:rPr>
      <w:rFonts w:ascii="Arial" w:hAnsi="Arial"/>
    </w:rPr>
  </w:style>
  <w:style w:type="paragraph" w:customStyle="1" w:styleId="399">
    <w:name w:val="正文加重首行缩进2字"/>
    <w:basedOn w:val="114"/>
    <w:qFormat/>
    <w:uiPriority w:val="99"/>
    <w:rPr>
      <w:b/>
      <w:bCs/>
      <w:szCs w:val="24"/>
    </w:rPr>
  </w:style>
  <w:style w:type="paragraph" w:customStyle="1" w:styleId="400">
    <w:name w:val="日期2"/>
    <w:basedOn w:val="1"/>
    <w:next w:val="1"/>
    <w:qFormat/>
    <w:uiPriority w:val="99"/>
    <w:pPr>
      <w:widowControl w:val="0"/>
      <w:adjustRightInd w:val="0"/>
      <w:spacing w:line="360" w:lineRule="auto"/>
      <w:jc w:val="both"/>
    </w:pPr>
    <w:rPr>
      <w:rFonts w:ascii="宋体"/>
      <w:b/>
      <w:spacing w:val="2"/>
      <w:kern w:val="2"/>
      <w:sz w:val="24"/>
    </w:rPr>
  </w:style>
  <w:style w:type="paragraph" w:customStyle="1" w:styleId="401">
    <w:name w:val="xl4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402">
    <w:name w:val="1-正文"/>
    <w:basedOn w:val="1"/>
    <w:qFormat/>
    <w:uiPriority w:val="99"/>
    <w:pPr>
      <w:widowControl w:val="0"/>
      <w:spacing w:beforeLines="50"/>
      <w:ind w:firstLine="420" w:firstLineChars="200"/>
    </w:pPr>
    <w:rPr>
      <w:bCs/>
      <w:kern w:val="2"/>
      <w:szCs w:val="24"/>
    </w:rPr>
  </w:style>
  <w:style w:type="paragraph" w:customStyle="1" w:styleId="403">
    <w:name w:val="xl63"/>
    <w:basedOn w:val="1"/>
    <w:qFormat/>
    <w:uiPriority w:val="99"/>
    <w:pPr>
      <w:spacing w:before="100" w:beforeAutospacing="1" w:after="100" w:afterAutospacing="1"/>
    </w:pPr>
    <w:rPr>
      <w:rFonts w:ascii="宋体" w:hAnsi="宋体" w:cs="宋体"/>
      <w:sz w:val="24"/>
      <w:szCs w:val="24"/>
    </w:rPr>
  </w:style>
  <w:style w:type="character" w:customStyle="1" w:styleId="404">
    <w:name w:val="Item List Char"/>
    <w:link w:val="405"/>
    <w:qFormat/>
    <w:locked/>
    <w:uiPriority w:val="99"/>
    <w:rPr>
      <w:kern w:val="0"/>
      <w:sz w:val="20"/>
      <w:szCs w:val="24"/>
    </w:rPr>
  </w:style>
  <w:style w:type="paragraph" w:customStyle="1" w:styleId="405">
    <w:name w:val="Item List"/>
    <w:basedOn w:val="1"/>
    <w:link w:val="404"/>
    <w:qFormat/>
    <w:uiPriority w:val="99"/>
    <w:pPr>
      <w:widowControl w:val="0"/>
      <w:numPr>
        <w:ilvl w:val="1"/>
        <w:numId w:val="11"/>
      </w:numPr>
      <w:tabs>
        <w:tab w:val="left" w:pos="420"/>
        <w:tab w:val="left" w:pos="720"/>
      </w:tabs>
      <w:snapToGrid w:val="0"/>
      <w:spacing w:afterLines="50"/>
      <w:ind w:left="720" w:hanging="360"/>
    </w:pPr>
    <w:rPr>
      <w:rFonts w:ascii="Calibri" w:hAnsi="Calibri"/>
      <w:sz w:val="20"/>
      <w:szCs w:val="24"/>
    </w:rPr>
  </w:style>
  <w:style w:type="paragraph" w:customStyle="1" w:styleId="406">
    <w:name w:val="xl73"/>
    <w:basedOn w:val="1"/>
    <w:qFormat/>
    <w:uiPriority w:val="99"/>
    <w:pPr>
      <w:spacing w:before="100" w:beforeAutospacing="1" w:after="100" w:afterAutospacing="1"/>
    </w:pPr>
    <w:rPr>
      <w:rFonts w:ascii="宋体" w:hAnsi="宋体" w:cs="宋体"/>
      <w:color w:val="000000"/>
      <w:sz w:val="24"/>
      <w:szCs w:val="24"/>
    </w:rPr>
  </w:style>
  <w:style w:type="paragraph" w:customStyle="1" w:styleId="407">
    <w:name w:val="样式 标题 4 + (西文) 黑体 加粗"/>
    <w:basedOn w:val="7"/>
    <w:qFormat/>
    <w:uiPriority w:val="99"/>
    <w:pPr>
      <w:keepNext/>
      <w:keepLines/>
      <w:autoSpaceDE/>
      <w:autoSpaceDN/>
      <w:adjustRightInd/>
      <w:snapToGrid/>
      <w:spacing w:before="280" w:after="290" w:line="372" w:lineRule="auto"/>
      <w:ind w:left="0" w:firstLine="200" w:firstLineChars="200"/>
    </w:pPr>
    <w:rPr>
      <w:rFonts w:ascii="黑体" w:hAnsi="黑体" w:eastAsia="黑体"/>
      <w:bCs/>
      <w:color w:val="auto"/>
      <w:kern w:val="2"/>
      <w:sz w:val="30"/>
      <w:szCs w:val="28"/>
    </w:rPr>
  </w:style>
  <w:style w:type="paragraph" w:customStyle="1" w:styleId="408">
    <w:name w:val="正文－首行缩进"/>
    <w:basedOn w:val="1"/>
    <w:qFormat/>
    <w:uiPriority w:val="99"/>
    <w:pPr>
      <w:widowControl w:val="0"/>
      <w:ind w:firstLine="200" w:firstLineChars="200"/>
      <w:jc w:val="both"/>
    </w:pPr>
    <w:rPr>
      <w:kern w:val="2"/>
      <w:szCs w:val="24"/>
    </w:rPr>
  </w:style>
  <w:style w:type="paragraph" w:customStyle="1" w:styleId="409">
    <w:name w:val="Char Char Char Char Char Char Char"/>
    <w:basedOn w:val="1"/>
    <w:qFormat/>
    <w:uiPriority w:val="99"/>
    <w:pPr>
      <w:adjustRightInd w:val="0"/>
      <w:spacing w:after="160" w:line="240" w:lineRule="exact"/>
    </w:pPr>
    <w:rPr>
      <w:rFonts w:ascii="Verdana" w:hAnsi="Verdana"/>
      <w:sz w:val="20"/>
      <w:lang w:eastAsia="en-US"/>
    </w:rPr>
  </w:style>
  <w:style w:type="paragraph" w:customStyle="1" w:styleId="410">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11">
    <w:name w:val="font15"/>
    <w:basedOn w:val="1"/>
    <w:qFormat/>
    <w:uiPriority w:val="99"/>
    <w:pPr>
      <w:spacing w:before="100" w:beforeAutospacing="1" w:after="100" w:afterAutospacing="1"/>
    </w:pPr>
    <w:rPr>
      <w:sz w:val="20"/>
    </w:rPr>
  </w:style>
  <w:style w:type="paragraph" w:customStyle="1" w:styleId="412">
    <w:name w:val="1册标题3"/>
    <w:basedOn w:val="1"/>
    <w:next w:val="1"/>
    <w:qFormat/>
    <w:uiPriority w:val="99"/>
    <w:pPr>
      <w:keepNext/>
      <w:keepLines/>
      <w:widowControl w:val="0"/>
      <w:adjustRightInd w:val="0"/>
      <w:spacing w:beforeLines="50" w:afterLines="50" w:line="300" w:lineRule="auto"/>
      <w:jc w:val="both"/>
      <w:outlineLvl w:val="2"/>
    </w:pPr>
    <w:rPr>
      <w:rFonts w:ascii="Arial" w:hAnsi="Arial" w:eastAsia="黑体"/>
      <w:sz w:val="30"/>
    </w:rPr>
  </w:style>
  <w:style w:type="paragraph" w:customStyle="1" w:styleId="413">
    <w:name w:val="xl77"/>
    <w:basedOn w:val="1"/>
    <w:qFormat/>
    <w:uiPriority w:val="99"/>
    <w:pPr>
      <w:pBdr>
        <w:top w:val="single" w:color="auto" w:sz="4" w:space="0"/>
        <w:left w:val="single" w:color="auto" w:sz="8" w:space="0"/>
        <w:bottom w:val="single" w:color="auto" w:sz="4" w:space="0"/>
        <w:right w:val="single" w:color="auto" w:sz="8" w:space="0"/>
      </w:pBdr>
      <w:spacing w:before="100" w:beforeAutospacing="1" w:after="100" w:afterAutospacing="1"/>
      <w:jc w:val="center"/>
    </w:pPr>
    <w:rPr>
      <w:rFonts w:ascii="宋体" w:hAnsi="宋体" w:cs="Arial Unicode MS"/>
      <w:b/>
      <w:bCs/>
      <w:sz w:val="16"/>
      <w:szCs w:val="16"/>
    </w:rPr>
  </w:style>
  <w:style w:type="character" w:customStyle="1" w:styleId="414">
    <w:name w:val="正文（绿盟科技） Char"/>
    <w:link w:val="415"/>
    <w:qFormat/>
    <w:locked/>
    <w:uiPriority w:val="99"/>
    <w:rPr>
      <w:rFonts w:ascii="Times New Roman" w:hAnsi="Times New Roman"/>
      <w:kern w:val="2"/>
      <w:sz w:val="21"/>
      <w:lang w:val="en-US" w:eastAsia="zh-CN"/>
    </w:rPr>
  </w:style>
  <w:style w:type="paragraph" w:customStyle="1" w:styleId="415">
    <w:name w:val="正文（绿盟科技）"/>
    <w:link w:val="414"/>
    <w:qFormat/>
    <w:uiPriority w:val="99"/>
    <w:pPr>
      <w:spacing w:line="300" w:lineRule="auto"/>
    </w:pPr>
    <w:rPr>
      <w:rFonts w:ascii="Times New Roman" w:hAnsi="Times New Roman" w:eastAsia="宋体" w:cs="Times New Roman"/>
      <w:kern w:val="2"/>
      <w:sz w:val="21"/>
      <w:szCs w:val="21"/>
      <w:lang w:val="en-US" w:eastAsia="zh-CN" w:bidi="ar-SA"/>
    </w:rPr>
  </w:style>
  <w:style w:type="paragraph" w:customStyle="1" w:styleId="416">
    <w:name w:val="font9"/>
    <w:basedOn w:val="1"/>
    <w:qFormat/>
    <w:uiPriority w:val="99"/>
    <w:pPr>
      <w:spacing w:before="100" w:beforeAutospacing="1" w:after="100" w:afterAutospacing="1"/>
    </w:pPr>
    <w:rPr>
      <w:rFonts w:ascii="Helv" w:hAnsi="Helv" w:cs="Arial Unicode MS"/>
      <w:sz w:val="24"/>
      <w:szCs w:val="24"/>
    </w:rPr>
  </w:style>
  <w:style w:type="paragraph" w:customStyle="1" w:styleId="417">
    <w:name w:val="font11"/>
    <w:basedOn w:val="1"/>
    <w:qFormat/>
    <w:uiPriority w:val="99"/>
    <w:pPr>
      <w:spacing w:before="100" w:beforeAutospacing="1" w:after="100" w:afterAutospacing="1"/>
    </w:pPr>
    <w:rPr>
      <w:color w:val="000000"/>
      <w:sz w:val="20"/>
    </w:rPr>
  </w:style>
  <w:style w:type="paragraph" w:customStyle="1" w:styleId="418">
    <w:name w:val="Char Char2 Char"/>
    <w:basedOn w:val="1"/>
    <w:qFormat/>
    <w:uiPriority w:val="99"/>
    <w:pPr>
      <w:widowControl w:val="0"/>
      <w:jc w:val="both"/>
    </w:pPr>
    <w:rPr>
      <w:rFonts w:ascii="宋体" w:hAnsi="宋体"/>
      <w:b/>
      <w:kern w:val="2"/>
      <w:sz w:val="28"/>
      <w:szCs w:val="28"/>
    </w:rPr>
  </w:style>
  <w:style w:type="paragraph" w:customStyle="1" w:styleId="419">
    <w:name w:val="内容"/>
    <w:basedOn w:val="1"/>
    <w:qFormat/>
    <w:uiPriority w:val="99"/>
    <w:pPr>
      <w:widowControl w:val="0"/>
      <w:spacing w:line="360" w:lineRule="auto"/>
      <w:ind w:firstLine="600" w:firstLineChars="200"/>
      <w:jc w:val="both"/>
    </w:pPr>
    <w:rPr>
      <w:rFonts w:eastAsia="仿宋_GB2312"/>
      <w:kern w:val="2"/>
      <w:sz w:val="30"/>
      <w:szCs w:val="30"/>
    </w:rPr>
  </w:style>
  <w:style w:type="paragraph" w:customStyle="1" w:styleId="420">
    <w:name w:val="xl6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421">
    <w:name w:val="表格名"/>
    <w:basedOn w:val="109"/>
    <w:qFormat/>
    <w:uiPriority w:val="99"/>
    <w:pPr>
      <w:spacing w:line="360" w:lineRule="auto"/>
      <w:ind w:left="420" w:firstLine="0" w:firstLineChars="0"/>
      <w:jc w:val="center"/>
    </w:pPr>
    <w:rPr>
      <w:rFonts w:ascii="宋体" w:hAnsi="宋体"/>
      <w:b/>
      <w:szCs w:val="21"/>
    </w:rPr>
  </w:style>
  <w:style w:type="paragraph" w:customStyle="1" w:styleId="422">
    <w:name w:val="List Paragraph11"/>
    <w:basedOn w:val="1"/>
    <w:qFormat/>
    <w:uiPriority w:val="99"/>
    <w:pPr>
      <w:widowControl w:val="0"/>
      <w:ind w:firstLine="420" w:firstLineChars="200"/>
      <w:jc w:val="both"/>
    </w:pPr>
    <w:rPr>
      <w:rFonts w:ascii="Tahoma" w:hAnsi="Tahoma" w:cs="Tahoma"/>
      <w:sz w:val="20"/>
    </w:rPr>
  </w:style>
  <w:style w:type="paragraph" w:customStyle="1" w:styleId="423">
    <w:name w:val="(标书)正文 Char"/>
    <w:basedOn w:val="1"/>
    <w:qFormat/>
    <w:uiPriority w:val="99"/>
    <w:pPr>
      <w:widowControl w:val="0"/>
      <w:spacing w:line="480" w:lineRule="auto"/>
      <w:ind w:firstLine="522"/>
    </w:pPr>
    <w:rPr>
      <w:spacing w:val="10"/>
      <w:sz w:val="24"/>
      <w:szCs w:val="24"/>
    </w:rPr>
  </w:style>
  <w:style w:type="paragraph" w:customStyle="1" w:styleId="424">
    <w:name w:val="xl57"/>
    <w:basedOn w:val="1"/>
    <w:qFormat/>
    <w:uiPriority w:val="99"/>
    <w:pPr>
      <w:spacing w:before="100" w:beforeAutospacing="1" w:after="100" w:afterAutospacing="1"/>
      <w:jc w:val="center"/>
    </w:pPr>
    <w:rPr>
      <w:rFonts w:ascii="宋体" w:hAnsi="宋体" w:cs="宋体"/>
      <w:sz w:val="24"/>
      <w:szCs w:val="24"/>
    </w:rPr>
  </w:style>
  <w:style w:type="paragraph" w:customStyle="1" w:styleId="425">
    <w:name w:val="xl7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426">
    <w:name w:val="Char Char15 Char Char"/>
    <w:basedOn w:val="1"/>
    <w:qFormat/>
    <w:uiPriority w:val="99"/>
    <w:pPr>
      <w:widowControl w:val="0"/>
      <w:jc w:val="both"/>
    </w:pPr>
    <w:rPr>
      <w:kern w:val="2"/>
    </w:rPr>
  </w:style>
  <w:style w:type="paragraph" w:customStyle="1" w:styleId="427">
    <w:name w:val="编号2级"/>
    <w:qFormat/>
    <w:uiPriority w:val="99"/>
    <w:pPr>
      <w:numPr>
        <w:ilvl w:val="1"/>
        <w:numId w:val="2"/>
      </w:numPr>
      <w:spacing w:line="360" w:lineRule="auto"/>
    </w:pPr>
    <w:rPr>
      <w:rFonts w:ascii="Times New Roman" w:hAnsi="Times New Roman" w:eastAsia="宋体" w:cs="Times New Roman"/>
      <w:kern w:val="24"/>
      <w:sz w:val="24"/>
      <w:szCs w:val="18"/>
      <w:lang w:val="en-US" w:eastAsia="zh-CN" w:bidi="ar-SA"/>
    </w:rPr>
  </w:style>
  <w:style w:type="paragraph" w:customStyle="1" w:styleId="428">
    <w:name w:val="È¡ÀÊ¡ÎÄ¡À¾"/>
    <w:basedOn w:val="1"/>
    <w:qFormat/>
    <w:uiPriority w:val="99"/>
    <w:pPr>
      <w:overflowPunct w:val="0"/>
      <w:autoSpaceDE w:val="0"/>
      <w:autoSpaceDN w:val="0"/>
      <w:adjustRightInd w:val="0"/>
      <w:jc w:val="both"/>
    </w:pPr>
    <w:rPr>
      <w:sz w:val="24"/>
    </w:rPr>
  </w:style>
  <w:style w:type="paragraph" w:customStyle="1" w:styleId="429">
    <w:name w:val="Table Body"/>
    <w:basedOn w:val="1"/>
    <w:qFormat/>
    <w:uiPriority w:val="99"/>
    <w:pPr>
      <w:snapToGrid w:val="0"/>
      <w:jc w:val="center"/>
    </w:pPr>
    <w:rPr>
      <w:rFonts w:ascii="Arial" w:hAnsi="Arial"/>
      <w:sz w:val="18"/>
    </w:rPr>
  </w:style>
  <w:style w:type="paragraph" w:customStyle="1" w:styleId="430">
    <w:name w:val="font8"/>
    <w:basedOn w:val="1"/>
    <w:qFormat/>
    <w:uiPriority w:val="99"/>
    <w:pPr>
      <w:spacing w:before="100" w:beforeAutospacing="1" w:after="100" w:afterAutospacing="1"/>
    </w:pPr>
    <w:rPr>
      <w:b/>
      <w:bCs/>
      <w:sz w:val="24"/>
      <w:szCs w:val="24"/>
    </w:rPr>
  </w:style>
  <w:style w:type="paragraph" w:customStyle="1" w:styleId="431">
    <w:name w:val="xl83"/>
    <w:basedOn w:val="1"/>
    <w:qFormat/>
    <w:uiPriority w:val="99"/>
    <w:pPr>
      <w:pBdr>
        <w:top w:val="single" w:color="auto" w:sz="4" w:space="0"/>
        <w:left w:val="single" w:color="auto" w:sz="4" w:space="0"/>
        <w:bottom w:val="single" w:color="auto" w:sz="4" w:space="0"/>
      </w:pBdr>
      <w:spacing w:before="100" w:beforeAutospacing="1" w:after="100" w:afterAutospacing="1"/>
    </w:pPr>
    <w:rPr>
      <w:rFonts w:ascii="Arial Unicode MS" w:hAnsi="Arial Unicode MS" w:cs="Arial Unicode MS"/>
      <w:b/>
      <w:bCs/>
      <w:sz w:val="16"/>
      <w:szCs w:val="16"/>
    </w:rPr>
  </w:style>
  <w:style w:type="paragraph" w:customStyle="1" w:styleId="432">
    <w:name w:val="常规"/>
    <w:basedOn w:val="1"/>
    <w:link w:val="437"/>
    <w:qFormat/>
    <w:uiPriority w:val="99"/>
    <w:pPr>
      <w:widowControl w:val="0"/>
      <w:spacing w:beforeLines="100" w:afterLines="100"/>
      <w:ind w:left="1134"/>
      <w:jc w:val="both"/>
    </w:pPr>
  </w:style>
  <w:style w:type="paragraph" w:customStyle="1" w:styleId="433">
    <w:name w:val="Block"/>
    <w:basedOn w:val="1"/>
    <w:next w:val="432"/>
    <w:qFormat/>
    <w:uiPriority w:val="99"/>
    <w:pPr>
      <w:widowControl w:val="0"/>
      <w:tabs>
        <w:tab w:val="left" w:pos="0"/>
      </w:tabs>
      <w:jc w:val="both"/>
    </w:pPr>
    <w:rPr>
      <w:rFonts w:ascii="Arial" w:hAnsi="Arial" w:eastAsia="楷体_GB2312"/>
      <w:color w:val="000080"/>
      <w:kern w:val="2"/>
      <w:sz w:val="28"/>
      <w:szCs w:val="28"/>
    </w:rPr>
  </w:style>
  <w:style w:type="paragraph" w:customStyle="1" w:styleId="434">
    <w:name w:val="样式 标题 2H2sect 1.2HD2h2Level 2 Topic Heading2Header 2head...1"/>
    <w:basedOn w:val="4"/>
    <w:qFormat/>
    <w:uiPriority w:val="99"/>
    <w:pPr>
      <w:widowControl w:val="0"/>
      <w:adjustRightInd/>
      <w:snapToGrid/>
      <w:spacing w:beforeLines="0" w:afterLines="0" w:line="412" w:lineRule="auto"/>
      <w:jc w:val="both"/>
    </w:pPr>
    <w:rPr>
      <w:rFonts w:ascii="黑体" w:hAnsi="黑体" w:eastAsia="黑体"/>
      <w:b w:val="0"/>
      <w:bCs/>
      <w:kern w:val="2"/>
      <w:sz w:val="30"/>
      <w:szCs w:val="30"/>
    </w:rPr>
  </w:style>
  <w:style w:type="paragraph" w:customStyle="1" w:styleId="435">
    <w:name w:val="font12"/>
    <w:basedOn w:val="1"/>
    <w:qFormat/>
    <w:uiPriority w:val="99"/>
    <w:pPr>
      <w:spacing w:before="100" w:beforeAutospacing="1" w:after="100" w:afterAutospacing="1"/>
    </w:pPr>
    <w:rPr>
      <w:rFonts w:ascii="宋体" w:hAnsi="宋体" w:cs="宋体"/>
      <w:color w:val="000000"/>
      <w:sz w:val="20"/>
    </w:rPr>
  </w:style>
  <w:style w:type="paragraph" w:customStyle="1" w:styleId="436">
    <w:name w:val="xl6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character" w:customStyle="1" w:styleId="437">
    <w:name w:val="常规 Char"/>
    <w:link w:val="432"/>
    <w:qFormat/>
    <w:locked/>
    <w:uiPriority w:val="99"/>
    <w:rPr>
      <w:rFonts w:ascii="Times New Roman" w:hAnsi="Times New Roman" w:eastAsia="宋体"/>
      <w:kern w:val="0"/>
      <w:sz w:val="21"/>
    </w:rPr>
  </w:style>
  <w:style w:type="paragraph" w:customStyle="1" w:styleId="438">
    <w:name w:val="图表标题"/>
    <w:basedOn w:val="1"/>
    <w:qFormat/>
    <w:uiPriority w:val="99"/>
    <w:pPr>
      <w:widowControl w:val="0"/>
      <w:autoSpaceDE w:val="0"/>
      <w:autoSpaceDN w:val="0"/>
      <w:adjustRightInd w:val="0"/>
      <w:snapToGrid w:val="0"/>
      <w:spacing w:before="80" w:after="40" w:line="288" w:lineRule="auto"/>
      <w:jc w:val="center"/>
    </w:pPr>
    <w:rPr>
      <w:spacing w:val="10"/>
      <w:sz w:val="24"/>
    </w:rPr>
  </w:style>
  <w:style w:type="paragraph" w:customStyle="1" w:styleId="439">
    <w:name w:val="正文 2"/>
    <w:basedOn w:val="1"/>
    <w:qFormat/>
    <w:uiPriority w:val="99"/>
    <w:pPr>
      <w:widowControl w:val="0"/>
      <w:autoSpaceDE w:val="0"/>
      <w:autoSpaceDN w:val="0"/>
      <w:adjustRightInd w:val="0"/>
      <w:snapToGrid w:val="0"/>
      <w:spacing w:before="80" w:after="40" w:line="360" w:lineRule="auto"/>
      <w:ind w:left="1134"/>
    </w:pPr>
    <w:rPr>
      <w:sz w:val="24"/>
    </w:rPr>
  </w:style>
  <w:style w:type="character" w:customStyle="1" w:styleId="440">
    <w:name w:val="样式20 Char"/>
    <w:link w:val="441"/>
    <w:qFormat/>
    <w:locked/>
    <w:uiPriority w:val="99"/>
    <w:rPr>
      <w:rFonts w:ascii="Arial" w:hAnsi="Arial"/>
      <w:b/>
      <w:sz w:val="30"/>
    </w:rPr>
  </w:style>
  <w:style w:type="paragraph" w:customStyle="1" w:styleId="441">
    <w:name w:val="样式20"/>
    <w:basedOn w:val="4"/>
    <w:link w:val="440"/>
    <w:qFormat/>
    <w:uiPriority w:val="99"/>
    <w:pPr>
      <w:widowControl w:val="0"/>
      <w:adjustRightInd/>
      <w:snapToGrid/>
      <w:spacing w:beforeLines="0" w:afterLines="0" w:line="415" w:lineRule="auto"/>
      <w:ind w:left="567" w:hanging="567"/>
      <w:jc w:val="both"/>
    </w:pPr>
    <w:rPr>
      <w:rFonts w:ascii="Arial"/>
      <w:sz w:val="30"/>
      <w:szCs w:val="20"/>
    </w:rPr>
  </w:style>
  <w:style w:type="paragraph" w:customStyle="1" w:styleId="442">
    <w:name w:val="xl2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rPr>
  </w:style>
  <w:style w:type="paragraph" w:customStyle="1" w:styleId="443">
    <w:name w:val="Item Step"/>
    <w:basedOn w:val="1"/>
    <w:qFormat/>
    <w:uiPriority w:val="99"/>
    <w:pPr>
      <w:tabs>
        <w:tab w:val="left" w:pos="1134"/>
      </w:tabs>
      <w:spacing w:afterLines="50"/>
      <w:ind w:left="1554" w:hanging="420"/>
    </w:pPr>
    <w:rPr>
      <w:kern w:val="2"/>
      <w:szCs w:val="24"/>
    </w:rPr>
  </w:style>
  <w:style w:type="paragraph" w:customStyle="1" w:styleId="444">
    <w:name w:val="样式 行距: 1.5 倍行距1"/>
    <w:basedOn w:val="1"/>
    <w:qFormat/>
    <w:uiPriority w:val="99"/>
    <w:pPr>
      <w:widowControl w:val="0"/>
      <w:jc w:val="both"/>
    </w:pPr>
    <w:rPr>
      <w:kern w:val="2"/>
    </w:rPr>
  </w:style>
  <w:style w:type="character" w:customStyle="1" w:styleId="445">
    <w:name w:val="00新正文 Char"/>
    <w:link w:val="446"/>
    <w:qFormat/>
    <w:locked/>
    <w:uiPriority w:val="99"/>
    <w:rPr>
      <w:rFonts w:ascii="宋体" w:hAnsi="宋体" w:eastAsia="宋体"/>
      <w:sz w:val="24"/>
    </w:rPr>
  </w:style>
  <w:style w:type="paragraph" w:customStyle="1" w:styleId="446">
    <w:name w:val="00新正文"/>
    <w:basedOn w:val="1"/>
    <w:link w:val="445"/>
    <w:qFormat/>
    <w:uiPriority w:val="99"/>
    <w:pPr>
      <w:widowControl w:val="0"/>
      <w:tabs>
        <w:tab w:val="center" w:pos="0"/>
      </w:tabs>
      <w:spacing w:line="360" w:lineRule="auto"/>
      <w:ind w:firstLine="600" w:firstLineChars="250"/>
      <w:jc w:val="both"/>
    </w:pPr>
    <w:rPr>
      <w:rFonts w:ascii="宋体" w:hAnsi="宋体"/>
      <w:sz w:val="24"/>
    </w:rPr>
  </w:style>
  <w:style w:type="paragraph" w:customStyle="1" w:styleId="447">
    <w:name w:val="标题 4 +"/>
    <w:basedOn w:val="11"/>
    <w:qFormat/>
    <w:uiPriority w:val="99"/>
    <w:pPr>
      <w:keepLines/>
      <w:autoSpaceDE/>
      <w:autoSpaceDN/>
      <w:adjustRightInd/>
      <w:snapToGrid/>
      <w:ind w:left="0" w:firstLine="0"/>
    </w:pPr>
    <w:rPr>
      <w:color w:val="auto"/>
      <w:szCs w:val="24"/>
    </w:rPr>
  </w:style>
  <w:style w:type="paragraph" w:customStyle="1" w:styleId="448">
    <w:name w:val="contentlabel"/>
    <w:basedOn w:val="1"/>
    <w:qFormat/>
    <w:uiPriority w:val="99"/>
    <w:pPr>
      <w:spacing w:before="32" w:after="100" w:afterAutospacing="1"/>
      <w:ind w:left="96"/>
    </w:pPr>
    <w:rPr>
      <w:rFonts w:ascii="宋体" w:hAnsi="宋体" w:cs="宋体"/>
      <w:color w:val="336666"/>
      <w:sz w:val="19"/>
      <w:szCs w:val="19"/>
    </w:rPr>
  </w:style>
  <w:style w:type="paragraph" w:customStyle="1" w:styleId="449">
    <w:name w:val="默认段落字体 Para Char Char Char Char Char Char Char Char Char1"/>
    <w:basedOn w:val="1"/>
    <w:qFormat/>
    <w:uiPriority w:val="99"/>
    <w:pPr>
      <w:widowControl w:val="0"/>
      <w:jc w:val="both"/>
    </w:pPr>
    <w:rPr>
      <w:rFonts w:ascii="Tahoma" w:hAnsi="Tahoma"/>
      <w:kern w:val="2"/>
      <w:sz w:val="24"/>
    </w:rPr>
  </w:style>
  <w:style w:type="paragraph" w:customStyle="1" w:styleId="450">
    <w:name w:val="表项"/>
    <w:next w:val="316"/>
    <w:qFormat/>
    <w:uiPriority w:val="99"/>
    <w:pPr>
      <w:keepNext/>
      <w:numPr>
        <w:ilvl w:val="4"/>
        <w:numId w:val="12"/>
      </w:numPr>
      <w:spacing w:line="300" w:lineRule="auto"/>
      <w:ind w:left="0" w:firstLine="0"/>
      <w:jc w:val="center"/>
    </w:pPr>
    <w:rPr>
      <w:rFonts w:ascii="Arial" w:hAnsi="Arial" w:eastAsia="黑体" w:cs="Times New Roman"/>
      <w:sz w:val="21"/>
      <w:lang w:val="en-US" w:eastAsia="zh-CN" w:bidi="ar-SA"/>
    </w:rPr>
  </w:style>
  <w:style w:type="paragraph" w:customStyle="1" w:styleId="451">
    <w:name w:val="xl4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452">
    <w:name w:val="font13"/>
    <w:basedOn w:val="1"/>
    <w:qFormat/>
    <w:uiPriority w:val="99"/>
    <w:pPr>
      <w:spacing w:before="100" w:beforeAutospacing="1" w:after="100" w:afterAutospacing="1"/>
    </w:pPr>
    <w:rPr>
      <w:rFonts w:ascii="宋体" w:hAnsi="宋体" w:cs="宋体"/>
      <w:color w:val="000000"/>
      <w:sz w:val="24"/>
      <w:szCs w:val="24"/>
    </w:rPr>
  </w:style>
  <w:style w:type="paragraph" w:customStyle="1" w:styleId="453">
    <w:name w:val="表格标题"/>
    <w:basedOn w:val="353"/>
    <w:qFormat/>
    <w:uiPriority w:val="99"/>
    <w:pPr>
      <w:jc w:val="center"/>
    </w:pPr>
    <w:rPr>
      <w:b/>
    </w:rPr>
  </w:style>
  <w:style w:type="paragraph" w:customStyle="1" w:styleId="454">
    <w:name w:val="样式 样式 首行缩进:  2 字符 + 首行缩进:  2 字符 段前: 0.5 行 段后: 0.5 行"/>
    <w:basedOn w:val="1"/>
    <w:qFormat/>
    <w:uiPriority w:val="99"/>
    <w:pPr>
      <w:widowControl w:val="0"/>
      <w:spacing w:beforeLines="50" w:afterLines="50" w:line="360" w:lineRule="auto"/>
      <w:ind w:firstLine="420" w:firstLineChars="200"/>
      <w:jc w:val="both"/>
    </w:pPr>
    <w:rPr>
      <w:rFonts w:ascii="Arial" w:hAnsi="Arial" w:cs="宋体"/>
      <w:kern w:val="2"/>
      <w:sz w:val="24"/>
      <w:szCs w:val="24"/>
    </w:rPr>
  </w:style>
  <w:style w:type="paragraph" w:customStyle="1" w:styleId="455">
    <w:name w:val="标准"/>
    <w:basedOn w:val="1"/>
    <w:qFormat/>
    <w:uiPriority w:val="99"/>
    <w:pPr>
      <w:widowControl w:val="0"/>
      <w:spacing w:line="240" w:lineRule="atLeast"/>
      <w:ind w:left="480" w:firstLine="425"/>
      <w:jc w:val="right"/>
    </w:pPr>
    <w:rPr>
      <w:rFonts w:ascii="宋体"/>
      <w:kern w:val="2"/>
      <w:sz w:val="24"/>
    </w:rPr>
  </w:style>
  <w:style w:type="paragraph" w:customStyle="1" w:styleId="456">
    <w:name w:val="xl5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57">
    <w:name w:val="_Style 59"/>
    <w:basedOn w:val="1"/>
    <w:qFormat/>
    <w:uiPriority w:val="99"/>
    <w:pPr>
      <w:spacing w:after="160" w:line="240" w:lineRule="exact"/>
    </w:pPr>
    <w:rPr>
      <w:kern w:val="2"/>
      <w:szCs w:val="24"/>
    </w:rPr>
  </w:style>
  <w:style w:type="paragraph" w:customStyle="1" w:styleId="458">
    <w:name w:val="Char Char13 Char Char Char Char"/>
    <w:basedOn w:val="17"/>
    <w:qFormat/>
    <w:uiPriority w:val="99"/>
    <w:pPr>
      <w:widowControl w:val="0"/>
      <w:jc w:val="both"/>
    </w:pPr>
    <w:rPr>
      <w:rFonts w:ascii="Tahoma" w:hAnsi="Tahoma"/>
      <w:kern w:val="2"/>
      <w:sz w:val="24"/>
      <w:szCs w:val="24"/>
    </w:rPr>
  </w:style>
  <w:style w:type="paragraph" w:customStyle="1" w:styleId="459">
    <w:name w:val="xl5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0"/>
    </w:rPr>
  </w:style>
  <w:style w:type="paragraph" w:customStyle="1" w:styleId="460">
    <w:name w:val="标题1"/>
    <w:basedOn w:val="1"/>
    <w:qFormat/>
    <w:uiPriority w:val="99"/>
    <w:pPr>
      <w:spacing w:line="360" w:lineRule="auto"/>
      <w:jc w:val="center"/>
    </w:pPr>
    <w:rPr>
      <w:rFonts w:ascii="黑体" w:eastAsia="黑体"/>
      <w:b/>
      <w:sz w:val="44"/>
    </w:rPr>
  </w:style>
  <w:style w:type="paragraph" w:customStyle="1" w:styleId="461">
    <w:name w:val="a4"/>
    <w:basedOn w:val="1"/>
    <w:qFormat/>
    <w:uiPriority w:val="99"/>
    <w:pPr>
      <w:spacing w:before="100" w:beforeAutospacing="1" w:after="100" w:afterAutospacing="1"/>
    </w:pPr>
    <w:rPr>
      <w:rFonts w:ascii="宋体" w:hAnsi="宋体"/>
      <w:sz w:val="24"/>
      <w:szCs w:val="24"/>
    </w:rPr>
  </w:style>
  <w:style w:type="paragraph" w:customStyle="1" w:styleId="462">
    <w:name w:val="海南模板"/>
    <w:basedOn w:val="1"/>
    <w:next w:val="51"/>
    <w:qFormat/>
    <w:uiPriority w:val="99"/>
    <w:pPr>
      <w:widowControl w:val="0"/>
      <w:tabs>
        <w:tab w:val="left" w:pos="360"/>
      </w:tabs>
      <w:spacing w:after="120" w:line="460" w:lineRule="exact"/>
      <w:jc w:val="both"/>
    </w:pPr>
    <w:rPr>
      <w:rFonts w:eastAsia="仿宋_GB2312"/>
      <w:kern w:val="2"/>
      <w:sz w:val="28"/>
    </w:rPr>
  </w:style>
  <w:style w:type="paragraph" w:customStyle="1" w:styleId="463">
    <w:name w:val="6"/>
    <w:basedOn w:val="1"/>
    <w:qFormat/>
    <w:uiPriority w:val="99"/>
    <w:pPr>
      <w:widowControl w:val="0"/>
      <w:jc w:val="both"/>
    </w:pPr>
    <w:rPr>
      <w:rFonts w:ascii="宋体" w:hAnsi="宋体"/>
      <w:b/>
      <w:kern w:val="2"/>
      <w:sz w:val="28"/>
      <w:szCs w:val="28"/>
    </w:rPr>
  </w:style>
  <w:style w:type="paragraph" w:customStyle="1" w:styleId="464">
    <w:name w:val="xl5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0"/>
    </w:rPr>
  </w:style>
  <w:style w:type="paragraph" w:customStyle="1" w:styleId="465">
    <w:name w:val="xl6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66">
    <w:name w:val="Date1"/>
    <w:basedOn w:val="1"/>
    <w:next w:val="1"/>
    <w:qFormat/>
    <w:uiPriority w:val="99"/>
    <w:pPr>
      <w:widowControl w:val="0"/>
      <w:adjustRightInd w:val="0"/>
      <w:spacing w:line="360" w:lineRule="auto"/>
      <w:jc w:val="both"/>
    </w:pPr>
    <w:rPr>
      <w:rFonts w:ascii="宋体"/>
      <w:b/>
      <w:spacing w:val="2"/>
      <w:kern w:val="2"/>
      <w:sz w:val="24"/>
    </w:rPr>
  </w:style>
  <w:style w:type="paragraph" w:customStyle="1" w:styleId="467">
    <w:name w:val="正文样式"/>
    <w:basedOn w:val="1"/>
    <w:qFormat/>
    <w:uiPriority w:val="99"/>
    <w:pPr>
      <w:widowControl w:val="0"/>
      <w:tabs>
        <w:tab w:val="left" w:pos="630"/>
      </w:tabs>
      <w:spacing w:before="163" w:after="163" w:line="300" w:lineRule="auto"/>
      <w:ind w:left="630" w:hanging="630"/>
      <w:jc w:val="both"/>
    </w:pPr>
    <w:rPr>
      <w:rFonts w:ascii="宋体"/>
      <w:kern w:val="2"/>
      <w:sz w:val="24"/>
      <w:szCs w:val="24"/>
    </w:rPr>
  </w:style>
  <w:style w:type="paragraph" w:customStyle="1" w:styleId="468">
    <w:name w:val="样式 标题 1H1h1章l1I11st levelHeading 01Header 1Header1Sec...1"/>
    <w:basedOn w:val="3"/>
    <w:qFormat/>
    <w:uiPriority w:val="99"/>
    <w:pPr>
      <w:tabs>
        <w:tab w:val="clear" w:pos="840"/>
      </w:tabs>
      <w:adjustRightInd/>
      <w:snapToGrid/>
      <w:spacing w:before="340" w:after="330" w:line="576" w:lineRule="auto"/>
    </w:pPr>
    <w:rPr>
      <w:rFonts w:ascii="黑体" w:hAnsi="黑体" w:eastAsia="黑体" w:cs="宋体"/>
      <w:b w:val="0"/>
      <w:bCs/>
      <w:sz w:val="36"/>
    </w:rPr>
  </w:style>
  <w:style w:type="paragraph" w:customStyle="1" w:styleId="469">
    <w:name w:val="列表4"/>
    <w:basedOn w:val="1"/>
    <w:qFormat/>
    <w:uiPriority w:val="99"/>
    <w:pPr>
      <w:widowControl w:val="0"/>
      <w:snapToGrid w:val="0"/>
      <w:jc w:val="both"/>
    </w:pPr>
    <w:rPr>
      <w:kern w:val="2"/>
      <w:sz w:val="28"/>
    </w:rPr>
  </w:style>
  <w:style w:type="paragraph" w:customStyle="1" w:styleId="470">
    <w:name w:val="tabletext"/>
    <w:basedOn w:val="1"/>
    <w:qFormat/>
    <w:uiPriority w:val="99"/>
    <w:pPr>
      <w:spacing w:before="100" w:beforeAutospacing="1" w:after="100" w:afterAutospacing="1" w:line="209" w:lineRule="atLeast"/>
    </w:pPr>
    <w:rPr>
      <w:rFonts w:ascii="宋体" w:hAnsi="宋体"/>
      <w:sz w:val="16"/>
      <w:szCs w:val="16"/>
    </w:rPr>
  </w:style>
  <w:style w:type="paragraph" w:customStyle="1" w:styleId="471">
    <w:name w:val="P标3"/>
    <w:basedOn w:val="6"/>
    <w:qFormat/>
    <w:uiPriority w:val="99"/>
    <w:pPr>
      <w:tabs>
        <w:tab w:val="clear" w:pos="851"/>
      </w:tabs>
      <w:autoSpaceDE/>
      <w:autoSpaceDN/>
      <w:adjustRightInd/>
      <w:snapToGrid/>
      <w:spacing w:line="240" w:lineRule="auto"/>
      <w:ind w:left="0" w:firstLine="0"/>
      <w:jc w:val="center"/>
      <w:outlineLvl w:val="9"/>
    </w:pPr>
    <w:rPr>
      <w:rFonts w:hAnsi="宋体"/>
      <w:kern w:val="2"/>
      <w:sz w:val="24"/>
      <w:szCs w:val="24"/>
    </w:rPr>
  </w:style>
  <w:style w:type="paragraph" w:customStyle="1" w:styleId="472">
    <w:name w:val="正文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73">
    <w:name w:val="Subtle Emphasis1"/>
    <w:qFormat/>
    <w:uiPriority w:val="99"/>
    <w:rPr>
      <w:i/>
      <w:color w:val="808080"/>
    </w:rPr>
  </w:style>
  <w:style w:type="character" w:customStyle="1" w:styleId="474">
    <w:name w:val="Intense Emphasis1"/>
    <w:qFormat/>
    <w:uiPriority w:val="99"/>
    <w:rPr>
      <w:b/>
      <w:i/>
      <w:color w:val="4F81BD"/>
    </w:rPr>
  </w:style>
  <w:style w:type="character" w:customStyle="1" w:styleId="475">
    <w:name w:val="Char Char1"/>
    <w:qFormat/>
    <w:uiPriority w:val="99"/>
    <w:rPr>
      <w:rFonts w:ascii="Arial" w:hAnsi="Arial" w:eastAsia="宋体"/>
      <w:b/>
      <w:kern w:val="2"/>
      <w:sz w:val="28"/>
      <w:lang w:val="en-US" w:eastAsia="zh-CN"/>
    </w:rPr>
  </w:style>
  <w:style w:type="character" w:customStyle="1" w:styleId="476">
    <w:name w:val="price"/>
    <w:basedOn w:val="57"/>
    <w:qFormat/>
    <w:uiPriority w:val="99"/>
    <w:rPr>
      <w:rFonts w:cs="Times New Roman"/>
    </w:rPr>
  </w:style>
  <w:style w:type="character" w:customStyle="1" w:styleId="477">
    <w:name w:val="xl51 Char Char"/>
    <w:qFormat/>
    <w:uiPriority w:val="99"/>
    <w:rPr>
      <w:rFonts w:ascii="Arial" w:hAnsi="Arial"/>
      <w:sz w:val="21"/>
      <w:lang w:val="en-US" w:eastAsia="zh-CN"/>
    </w:rPr>
  </w:style>
  <w:style w:type="character" w:customStyle="1" w:styleId="478">
    <w:name w:val="my正文 Char Char"/>
    <w:qFormat/>
    <w:uiPriority w:val="99"/>
    <w:rPr>
      <w:rFonts w:ascii="宋体" w:hAnsi="宋体" w:eastAsia="宋体"/>
      <w:sz w:val="24"/>
    </w:rPr>
  </w:style>
  <w:style w:type="character" w:customStyle="1" w:styleId="479">
    <w:name w:val="批注文字 Char1"/>
    <w:semiHidden/>
    <w:qFormat/>
    <w:uiPriority w:val="99"/>
    <w:rPr>
      <w:rFonts w:ascii="宋体" w:hAnsi="宋体" w:eastAsia="宋体"/>
      <w:kern w:val="2"/>
      <w:sz w:val="24"/>
    </w:rPr>
  </w:style>
  <w:style w:type="character" w:customStyle="1" w:styleId="480">
    <w:name w:val="常规 Char Char"/>
    <w:qFormat/>
    <w:uiPriority w:val="99"/>
    <w:rPr>
      <w:sz w:val="21"/>
    </w:rPr>
  </w:style>
  <w:style w:type="character" w:customStyle="1" w:styleId="481">
    <w:name w:val="标题 3 Char + 小四 Char"/>
    <w:qFormat/>
    <w:uiPriority w:val="99"/>
    <w:rPr>
      <w:rFonts w:ascii="宋体" w:hAnsi="宋体" w:eastAsia="宋体"/>
      <w:b/>
      <w:snapToGrid w:val="0"/>
      <w:color w:val="000000"/>
      <w:sz w:val="28"/>
      <w:lang w:val="en-US" w:eastAsia="zh-CN"/>
    </w:rPr>
  </w:style>
  <w:style w:type="character" w:customStyle="1" w:styleId="482">
    <w:name w:val="页脚 Char Char"/>
    <w:qFormat/>
    <w:uiPriority w:val="99"/>
    <w:rPr>
      <w:rFonts w:ascii="宋体" w:hAnsi="宋体" w:eastAsia="宋体"/>
      <w:kern w:val="2"/>
      <w:sz w:val="18"/>
      <w:lang w:val="en-US" w:eastAsia="zh-CN"/>
    </w:rPr>
  </w:style>
  <w:style w:type="character" w:customStyle="1" w:styleId="483">
    <w:name w:val="Char Char8"/>
    <w:qFormat/>
    <w:locked/>
    <w:uiPriority w:val="99"/>
    <w:rPr>
      <w:rFonts w:ascii="宋体" w:hAnsi="宋体" w:eastAsia="宋体"/>
      <w:sz w:val="24"/>
    </w:rPr>
  </w:style>
  <w:style w:type="character" w:customStyle="1" w:styleId="484">
    <w:name w:val="9pix"/>
    <w:basedOn w:val="57"/>
    <w:qFormat/>
    <w:uiPriority w:val="99"/>
    <w:rPr>
      <w:rFonts w:cs="Times New Roman"/>
    </w:rPr>
  </w:style>
  <w:style w:type="character" w:customStyle="1" w:styleId="485">
    <w:name w:val="H6 Char Char"/>
    <w:qFormat/>
    <w:uiPriority w:val="99"/>
    <w:rPr>
      <w:rFonts w:ascii="Arial" w:hAnsi="Arial" w:eastAsia="黑体"/>
      <w:b/>
      <w:kern w:val="0"/>
      <w:sz w:val="20"/>
    </w:rPr>
  </w:style>
  <w:style w:type="character" w:customStyle="1" w:styleId="486">
    <w:name w:val="注意框体 Char"/>
    <w:qFormat/>
    <w:uiPriority w:val="99"/>
    <w:rPr>
      <w:rFonts w:ascii="Arial" w:hAnsi="Arial" w:eastAsia="黑体"/>
      <w:snapToGrid w:val="0"/>
      <w:color w:val="000000"/>
      <w:sz w:val="24"/>
      <w:lang w:val="en-US" w:eastAsia="zh-CN"/>
    </w:rPr>
  </w:style>
  <w:style w:type="character" w:customStyle="1" w:styleId="487">
    <w:name w:val="backtop"/>
    <w:basedOn w:val="57"/>
    <w:qFormat/>
    <w:uiPriority w:val="99"/>
    <w:rPr>
      <w:rFonts w:cs="Times New Roman"/>
    </w:rPr>
  </w:style>
  <w:style w:type="character" w:customStyle="1" w:styleId="488">
    <w:name w:val="Figure Description Char"/>
    <w:link w:val="332"/>
    <w:qFormat/>
    <w:locked/>
    <w:uiPriority w:val="99"/>
    <w:rPr>
      <w:rFonts w:ascii="Times New Roman" w:hAnsi="Times New Roman" w:eastAsia="宋体"/>
      <w:kern w:val="0"/>
      <w:sz w:val="20"/>
    </w:rPr>
  </w:style>
  <w:style w:type="character" w:customStyle="1" w:styleId="489">
    <w:name w:val="h9point1"/>
    <w:qFormat/>
    <w:uiPriority w:val="99"/>
    <w:rPr>
      <w:rFonts w:ascii="宋体" w:hAnsi="宋体" w:eastAsia="宋体"/>
      <w:sz w:val="18"/>
    </w:rPr>
  </w:style>
  <w:style w:type="character" w:customStyle="1" w:styleId="490">
    <w:name w:val="正文文本 Char Char Char Char Char Char"/>
    <w:qFormat/>
    <w:uiPriority w:val="99"/>
    <w:rPr>
      <w:rFonts w:ascii="宋体" w:hAnsi="宋体" w:eastAsia="宋体"/>
      <w:kern w:val="2"/>
      <w:sz w:val="24"/>
      <w:lang w:val="en-US" w:eastAsia="zh-CN"/>
    </w:rPr>
  </w:style>
  <w:style w:type="character" w:customStyle="1" w:styleId="491">
    <w:name w:val="表正文 Char2"/>
    <w:qFormat/>
    <w:uiPriority w:val="99"/>
    <w:rPr>
      <w:rFonts w:ascii="宋体" w:hAnsi="宋体" w:eastAsia="宋体"/>
      <w:kern w:val="2"/>
      <w:sz w:val="24"/>
      <w:lang w:val="en-US" w:eastAsia="zh-CN"/>
    </w:rPr>
  </w:style>
  <w:style w:type="character" w:customStyle="1" w:styleId="492">
    <w:name w:val="v"/>
    <w:basedOn w:val="57"/>
    <w:qFormat/>
    <w:uiPriority w:val="99"/>
    <w:rPr>
      <w:rFonts w:cs="Times New Roman"/>
    </w:rPr>
  </w:style>
  <w:style w:type="character" w:customStyle="1" w:styleId="493">
    <w:name w:val="Body Char Char"/>
    <w:qFormat/>
    <w:uiPriority w:val="99"/>
    <w:rPr>
      <w:rFonts w:ascii="Arial" w:hAnsi="Arial"/>
      <w:color w:val="000000"/>
      <w:sz w:val="24"/>
    </w:rPr>
  </w:style>
  <w:style w:type="character" w:customStyle="1" w:styleId="494">
    <w:name w:val="apple-style-span"/>
    <w:basedOn w:val="57"/>
    <w:qFormat/>
    <w:uiPriority w:val="99"/>
    <w:rPr>
      <w:rFonts w:cs="Times New Roman"/>
    </w:rPr>
  </w:style>
  <w:style w:type="character" w:customStyle="1" w:styleId="495">
    <w:name w:val="!aj_sol_居中_图文框 Char Char"/>
    <w:qFormat/>
    <w:uiPriority w:val="99"/>
    <w:rPr>
      <w:rFonts w:ascii="宋体" w:hAnsi="宋体" w:eastAsia="仿宋_GB2312"/>
      <w:kern w:val="2"/>
      <w:sz w:val="22"/>
      <w:lang w:val="en-US" w:eastAsia="zh-CN"/>
    </w:rPr>
  </w:style>
  <w:style w:type="character" w:customStyle="1" w:styleId="496">
    <w:name w:val="favorite"/>
    <w:basedOn w:val="57"/>
    <w:qFormat/>
    <w:uiPriority w:val="99"/>
    <w:rPr>
      <w:rFonts w:cs="Times New Roman"/>
    </w:rPr>
  </w:style>
  <w:style w:type="character" w:customStyle="1" w:styleId="497">
    <w:name w:val="h Char2"/>
    <w:qFormat/>
    <w:uiPriority w:val="99"/>
    <w:rPr>
      <w:rFonts w:ascii="宋体" w:hAnsi="宋体" w:eastAsia="宋体"/>
      <w:kern w:val="2"/>
      <w:sz w:val="18"/>
      <w:lang w:val="en-US" w:eastAsia="zh-CN"/>
    </w:rPr>
  </w:style>
  <w:style w:type="character" w:customStyle="1" w:styleId="498">
    <w:name w:val="param-value2"/>
    <w:qFormat/>
    <w:uiPriority w:val="99"/>
  </w:style>
  <w:style w:type="character" w:customStyle="1" w:styleId="499">
    <w:name w:val="脚注文本 Char1"/>
    <w:qFormat/>
    <w:uiPriority w:val="99"/>
    <w:rPr>
      <w:kern w:val="2"/>
      <w:sz w:val="18"/>
    </w:rPr>
  </w:style>
  <w:style w:type="character" w:customStyle="1" w:styleId="500">
    <w:name w:val="样式 Char Char"/>
    <w:qFormat/>
    <w:uiPriority w:val="99"/>
    <w:rPr>
      <w:rFonts w:ascii="宋体" w:hAnsi="宋体" w:eastAsia="宋体"/>
      <w:sz w:val="24"/>
      <w:lang w:val="en-US" w:eastAsia="zh-CN"/>
    </w:rPr>
  </w:style>
  <w:style w:type="character" w:customStyle="1" w:styleId="501">
    <w:name w:val="纯文本 Char Char Char Char1"/>
    <w:qFormat/>
    <w:uiPriority w:val="99"/>
    <w:rPr>
      <w:rFonts w:ascii="宋体" w:hAnsi="Courier New" w:eastAsia="宋体"/>
      <w:kern w:val="2"/>
      <w:sz w:val="21"/>
      <w:lang w:val="en-US" w:eastAsia="zh-CN"/>
    </w:rPr>
  </w:style>
  <w:style w:type="character" w:customStyle="1" w:styleId="502">
    <w:name w:val="样式 样式 首行缩进:  2 字符 + 首行缩进:  2 字符 Char Char"/>
    <w:qFormat/>
    <w:uiPriority w:val="99"/>
    <w:rPr>
      <w:rFonts w:ascii="宋体" w:hAnsi="宋体" w:eastAsia="宋体"/>
    </w:rPr>
  </w:style>
  <w:style w:type="character" w:customStyle="1" w:styleId="503">
    <w:name w:val="unnamed21"/>
    <w:qFormat/>
    <w:uiPriority w:val="99"/>
    <w:rPr>
      <w:color w:val="CC6633"/>
      <w:u w:val="none"/>
    </w:rPr>
  </w:style>
  <w:style w:type="character" w:customStyle="1" w:styleId="504">
    <w:name w:val="fee"/>
    <w:basedOn w:val="57"/>
    <w:qFormat/>
    <w:uiPriority w:val="99"/>
    <w:rPr>
      <w:rFonts w:cs="Times New Roman"/>
    </w:rPr>
  </w:style>
  <w:style w:type="character" w:customStyle="1" w:styleId="505">
    <w:name w:val="para"/>
    <w:basedOn w:val="57"/>
    <w:qFormat/>
    <w:uiPriority w:val="99"/>
    <w:rPr>
      <w:rFonts w:cs="Times New Roman"/>
    </w:rPr>
  </w:style>
  <w:style w:type="character" w:customStyle="1" w:styleId="506">
    <w:name w:val="Char Char3"/>
    <w:qFormat/>
    <w:uiPriority w:val="99"/>
    <w:rPr>
      <w:rFonts w:ascii="宋体" w:hAnsi="宋体" w:eastAsia="宋体"/>
      <w:kern w:val="2"/>
      <w:sz w:val="18"/>
      <w:lang w:val="en-US" w:eastAsia="zh-CN"/>
    </w:rPr>
  </w:style>
  <w:style w:type="character" w:customStyle="1" w:styleId="507">
    <w:name w:val="16"/>
    <w:basedOn w:val="57"/>
    <w:qFormat/>
    <w:uiPriority w:val="99"/>
    <w:rPr>
      <w:rFonts w:cs="Times New Roman"/>
    </w:rPr>
  </w:style>
  <w:style w:type="character" w:customStyle="1" w:styleId="508">
    <w:name w:val="普通文字 Char"/>
    <w:qFormat/>
    <w:uiPriority w:val="99"/>
    <w:rPr>
      <w:rFonts w:ascii="宋体" w:hAnsi="Courier New" w:eastAsia="宋体"/>
      <w:kern w:val="2"/>
      <w:sz w:val="21"/>
      <w:lang w:val="en-US" w:eastAsia="zh-CN"/>
    </w:rPr>
  </w:style>
  <w:style w:type="character" w:customStyle="1" w:styleId="509">
    <w:name w:val="PIM 9 Char"/>
    <w:qFormat/>
    <w:uiPriority w:val="99"/>
    <w:rPr>
      <w:rFonts w:ascii="Arial" w:hAnsi="Arial" w:eastAsia="黑体"/>
      <w:snapToGrid w:val="0"/>
      <w:color w:val="000000"/>
      <w:sz w:val="21"/>
      <w:lang w:val="en-US" w:eastAsia="zh-CN"/>
    </w:rPr>
  </w:style>
  <w:style w:type="character" w:customStyle="1" w:styleId="510">
    <w:name w:val="text5"/>
    <w:basedOn w:val="57"/>
    <w:qFormat/>
    <w:uiPriority w:val="99"/>
    <w:rPr>
      <w:rFonts w:cs="Times New Roman"/>
    </w:rPr>
  </w:style>
  <w:style w:type="character" w:customStyle="1" w:styleId="511">
    <w:name w:val="普通文字 Char Char"/>
    <w:qFormat/>
    <w:uiPriority w:val="99"/>
    <w:rPr>
      <w:rFonts w:ascii="宋体" w:hAnsi="Courier New" w:eastAsia="宋体"/>
      <w:kern w:val="2"/>
      <w:sz w:val="21"/>
      <w:lang w:val="en-US" w:eastAsia="zh-CN"/>
    </w:rPr>
  </w:style>
  <w:style w:type="character" w:customStyle="1" w:styleId="512">
    <w:name w:val="Figure Description Char Char"/>
    <w:qFormat/>
    <w:uiPriority w:val="99"/>
    <w:rPr>
      <w:rFonts w:ascii="Calibri" w:hAnsi="Calibri"/>
      <w:sz w:val="24"/>
      <w:lang w:eastAsia="en-US"/>
    </w:rPr>
  </w:style>
  <w:style w:type="character" w:customStyle="1" w:styleId="513">
    <w:name w:val="批注主题 Char1"/>
    <w:semiHidden/>
    <w:qFormat/>
    <w:uiPriority w:val="99"/>
    <w:rPr>
      <w:rFonts w:ascii="宋体" w:hAnsi="宋体" w:eastAsia="宋体"/>
      <w:b/>
      <w:kern w:val="2"/>
      <w:sz w:val="24"/>
    </w:rPr>
  </w:style>
  <w:style w:type="character" w:customStyle="1" w:styleId="514">
    <w:name w:val="正文文本缩进 3 Char1"/>
    <w:semiHidden/>
    <w:qFormat/>
    <w:uiPriority w:val="99"/>
    <w:rPr>
      <w:rFonts w:ascii="宋体" w:hAnsi="宋体" w:eastAsia="宋体"/>
      <w:kern w:val="2"/>
      <w:sz w:val="16"/>
    </w:rPr>
  </w:style>
  <w:style w:type="character" w:customStyle="1" w:styleId="515">
    <w:name w:val="纯文本 Char2"/>
    <w:semiHidden/>
    <w:qFormat/>
    <w:uiPriority w:val="99"/>
    <w:rPr>
      <w:rFonts w:ascii="宋体" w:hAnsi="Courier New" w:eastAsia="宋体"/>
      <w:kern w:val="2"/>
      <w:sz w:val="21"/>
    </w:rPr>
  </w:style>
  <w:style w:type="character" w:customStyle="1" w:styleId="516">
    <w:name w:val="Font Style17"/>
    <w:qFormat/>
    <w:uiPriority w:val="99"/>
    <w:rPr>
      <w:rFonts w:ascii="黑体" w:hAnsi="黑体" w:eastAsia="黑体"/>
      <w:sz w:val="28"/>
    </w:rPr>
  </w:style>
  <w:style w:type="character" w:customStyle="1" w:styleId="517">
    <w:name w:val="grame"/>
    <w:basedOn w:val="57"/>
    <w:qFormat/>
    <w:uiPriority w:val="99"/>
    <w:rPr>
      <w:rFonts w:cs="Times New Roman"/>
    </w:rPr>
  </w:style>
  <w:style w:type="character" w:customStyle="1" w:styleId="518">
    <w:name w:val="正文文字缩进 Char"/>
    <w:qFormat/>
    <w:uiPriority w:val="99"/>
    <w:rPr>
      <w:rFonts w:ascii="Times New Roman" w:hAnsi="Times New Roman" w:eastAsia="宋体"/>
      <w:kern w:val="0"/>
      <w:sz w:val="24"/>
    </w:rPr>
  </w:style>
  <w:style w:type="character" w:customStyle="1" w:styleId="519">
    <w:name w:val="p141"/>
    <w:qFormat/>
    <w:uiPriority w:val="99"/>
    <w:rPr>
      <w:sz w:val="21"/>
    </w:rPr>
  </w:style>
  <w:style w:type="character" w:customStyle="1" w:styleId="520">
    <w:name w:val="Char Char13"/>
    <w:qFormat/>
    <w:uiPriority w:val="99"/>
    <w:rPr>
      <w:rFonts w:ascii="宋体" w:hAnsi="宋体" w:eastAsia="宋体"/>
      <w:sz w:val="18"/>
      <w:lang w:val="en-US" w:eastAsia="zh-CN"/>
    </w:rPr>
  </w:style>
  <w:style w:type="character" w:customStyle="1" w:styleId="521">
    <w:name w:val="Figure Char Char"/>
    <w:qFormat/>
    <w:uiPriority w:val="99"/>
    <w:rPr>
      <w:rFonts w:ascii="Calibri" w:hAnsi="Calibri" w:eastAsia="宋体"/>
      <w:sz w:val="24"/>
      <w:lang w:eastAsia="en-US"/>
    </w:rPr>
  </w:style>
  <w:style w:type="character" w:customStyle="1" w:styleId="522">
    <w:name w:val="H6 Char"/>
    <w:qFormat/>
    <w:uiPriority w:val="99"/>
    <w:rPr>
      <w:rFonts w:ascii="Arial" w:hAnsi="Arial" w:eastAsia="黑体"/>
      <w:b/>
      <w:snapToGrid w:val="0"/>
      <w:color w:val="000000"/>
      <w:sz w:val="24"/>
      <w:lang w:val="en-US" w:eastAsia="zh-CN"/>
    </w:rPr>
  </w:style>
  <w:style w:type="character" w:customStyle="1" w:styleId="523">
    <w:name w:val="页脚 Char1"/>
    <w:qFormat/>
    <w:locked/>
    <w:uiPriority w:val="99"/>
    <w:rPr>
      <w:sz w:val="18"/>
    </w:rPr>
  </w:style>
  <w:style w:type="character" w:customStyle="1" w:styleId="524">
    <w:name w:val="标题 211"/>
    <w:qFormat/>
    <w:uiPriority w:val="99"/>
    <w:rPr>
      <w:rFonts w:ascii="宋体" w:hAnsi="宋体" w:eastAsia="宋体"/>
      <w:b/>
      <w:kern w:val="2"/>
      <w:sz w:val="24"/>
      <w:lang w:val="en-US" w:eastAsia="zh-CN"/>
    </w:rPr>
  </w:style>
  <w:style w:type="character" w:customStyle="1" w:styleId="525">
    <w:name w:val="标题 5（无编号）（绿盟科技） Char Char"/>
    <w:qFormat/>
    <w:uiPriority w:val="99"/>
    <w:rPr>
      <w:rFonts w:ascii="Arial" w:hAnsi="Arial" w:eastAsia="黑体"/>
      <w:b/>
      <w:sz w:val="28"/>
    </w:rPr>
  </w:style>
  <w:style w:type="character" w:customStyle="1" w:styleId="526">
    <w:name w:val="Char Char27"/>
    <w:qFormat/>
    <w:uiPriority w:val="99"/>
    <w:rPr>
      <w:rFonts w:ascii="宋体" w:hAnsi="宋体" w:eastAsia="宋体"/>
      <w:kern w:val="2"/>
      <w:sz w:val="21"/>
      <w:lang w:val="en-US" w:eastAsia="zh-CN"/>
    </w:rPr>
  </w:style>
  <w:style w:type="character" w:customStyle="1" w:styleId="527">
    <w:name w:val="font21"/>
    <w:qFormat/>
    <w:uiPriority w:val="99"/>
    <w:rPr>
      <w:color w:val="417998"/>
      <w:sz w:val="18"/>
    </w:rPr>
  </w:style>
  <w:style w:type="character" w:customStyle="1" w:styleId="528">
    <w:name w:val="正文缩进1 Char Char"/>
    <w:qFormat/>
    <w:uiPriority w:val="99"/>
    <w:rPr>
      <w:rFonts w:ascii="宋体" w:hAnsi="宋体" w:eastAsia="宋体"/>
      <w:sz w:val="21"/>
      <w:lang w:val="en-US" w:eastAsia="zh-CN"/>
    </w:rPr>
  </w:style>
  <w:style w:type="character" w:customStyle="1" w:styleId="529">
    <w:name w:val="3级标题 Char Char"/>
    <w:qFormat/>
    <w:uiPriority w:val="99"/>
    <w:rPr>
      <w:rFonts w:ascii="Arial" w:hAnsi="Arial" w:eastAsia="黑体"/>
      <w:b/>
      <w:sz w:val="28"/>
    </w:rPr>
  </w:style>
  <w:style w:type="character" w:customStyle="1" w:styleId="530">
    <w:name w:val="方案正文 Char Char"/>
    <w:qFormat/>
    <w:uiPriority w:val="99"/>
    <w:rPr>
      <w:rFonts w:ascii="宋体" w:hAnsi="宋体" w:eastAsia="宋体"/>
      <w:sz w:val="28"/>
    </w:rPr>
  </w:style>
  <w:style w:type="character" w:customStyle="1" w:styleId="531">
    <w:name w:val="标题 311"/>
    <w:qFormat/>
    <w:uiPriority w:val="99"/>
    <w:rPr>
      <w:rFonts w:ascii="黑体" w:hAnsi="??" w:eastAsia="黑体"/>
      <w:sz w:val="28"/>
    </w:rPr>
  </w:style>
  <w:style w:type="character" w:customStyle="1" w:styleId="532">
    <w:name w:val="表格名称 Char Char"/>
    <w:qFormat/>
    <w:uiPriority w:val="99"/>
    <w:rPr>
      <w:rFonts w:ascii="宋体" w:hAnsi="宋体" w:eastAsia="宋体"/>
      <w:b/>
      <w:kern w:val="2"/>
      <w:sz w:val="21"/>
    </w:rPr>
  </w:style>
  <w:style w:type="character" w:customStyle="1" w:styleId="533">
    <w:name w:val="content2"/>
    <w:qFormat/>
    <w:uiPriority w:val="99"/>
    <w:rPr>
      <w:color w:val="666666"/>
      <w:sz w:val="18"/>
    </w:rPr>
  </w:style>
  <w:style w:type="character" w:customStyle="1" w:styleId="534">
    <w:name w:val="表格正文 Char Char"/>
    <w:qFormat/>
    <w:uiPriority w:val="99"/>
    <w:rPr>
      <w:rFonts w:ascii="楷体_GB2312" w:eastAsia="楷体_GB2312"/>
      <w:kern w:val="2"/>
      <w:sz w:val="24"/>
      <w:lang w:val="en-US" w:eastAsia="zh-CN"/>
    </w:rPr>
  </w:style>
  <w:style w:type="character" w:customStyle="1" w:styleId="535">
    <w:name w:val="样式 宋体 小三 加粗"/>
    <w:qFormat/>
    <w:uiPriority w:val="99"/>
    <w:rPr>
      <w:rFonts w:ascii="Times New Roman" w:hAnsi="Times New Roman" w:eastAsia="宋体"/>
      <w:b/>
      <w:sz w:val="30"/>
    </w:rPr>
  </w:style>
  <w:style w:type="character" w:customStyle="1" w:styleId="536">
    <w:name w:val="样式 正文缩进 + 首行缩进:  2 字符 Char Char"/>
    <w:qFormat/>
    <w:uiPriority w:val="99"/>
    <w:rPr>
      <w:rFonts w:ascii="宋体" w:hAnsi="宋体" w:eastAsia="宋体"/>
      <w:kern w:val="2"/>
      <w:sz w:val="24"/>
      <w:lang w:val="en-US" w:eastAsia="zh-CN"/>
    </w:rPr>
  </w:style>
  <w:style w:type="character" w:customStyle="1" w:styleId="537">
    <w:name w:val="fontp1"/>
    <w:qFormat/>
    <w:uiPriority w:val="99"/>
    <w:rPr>
      <w:rFonts w:ascii="宋体" w:hAnsi="宋体" w:eastAsia="宋体"/>
      <w:sz w:val="18"/>
    </w:rPr>
  </w:style>
  <w:style w:type="character" w:customStyle="1" w:styleId="538">
    <w:name w:val="￥正文 Char Char"/>
    <w:qFormat/>
    <w:uiPriority w:val="99"/>
    <w:rPr>
      <w:rFonts w:ascii="Calibri" w:hAnsi="Calibri"/>
      <w:sz w:val="24"/>
    </w:rPr>
  </w:style>
  <w:style w:type="character" w:customStyle="1" w:styleId="539">
    <w:name w:val="Heading 14 Char"/>
    <w:qFormat/>
    <w:uiPriority w:val="99"/>
    <w:rPr>
      <w:rFonts w:ascii="Arial" w:hAnsi="Arial" w:eastAsia="黑体"/>
      <w:b/>
      <w:kern w:val="2"/>
      <w:sz w:val="28"/>
      <w:lang w:val="en-US" w:eastAsia="zh-CN"/>
    </w:rPr>
  </w:style>
  <w:style w:type="character" w:customStyle="1" w:styleId="540">
    <w:name w:val="line_h201"/>
    <w:basedOn w:val="57"/>
    <w:qFormat/>
    <w:uiPriority w:val="99"/>
    <w:rPr>
      <w:rFonts w:cs="Times New Roman"/>
    </w:rPr>
  </w:style>
  <w:style w:type="character" w:customStyle="1" w:styleId="541">
    <w:name w:val="尾注文本 Char1"/>
    <w:qFormat/>
    <w:uiPriority w:val="99"/>
    <w:rPr>
      <w:kern w:val="2"/>
      <w:sz w:val="24"/>
    </w:rPr>
  </w:style>
  <w:style w:type="character" w:customStyle="1" w:styleId="542">
    <w:name w:val="样式21 Char Char"/>
    <w:qFormat/>
    <w:uiPriority w:val="99"/>
    <w:rPr>
      <w:rFonts w:ascii="Arial" w:hAnsi="Arial"/>
      <w:b/>
      <w:sz w:val="28"/>
    </w:rPr>
  </w:style>
  <w:style w:type="character" w:customStyle="1" w:styleId="543">
    <w:name w:val="样式 样式 行距: 1.5 倍行距 + 加粗 Char"/>
    <w:qFormat/>
    <w:uiPriority w:val="99"/>
    <w:rPr>
      <w:rFonts w:ascii="宋体" w:hAnsi="宋体" w:eastAsia="宋体"/>
      <w:b/>
      <w:kern w:val="2"/>
      <w:sz w:val="24"/>
      <w:lang w:val="en-US" w:eastAsia="zh-CN"/>
    </w:rPr>
  </w:style>
  <w:style w:type="character" w:customStyle="1" w:styleId="544">
    <w:name w:val="style3"/>
    <w:basedOn w:val="57"/>
    <w:qFormat/>
    <w:uiPriority w:val="99"/>
    <w:rPr>
      <w:rFonts w:cs="Times New Roman"/>
    </w:rPr>
  </w:style>
  <w:style w:type="character" w:customStyle="1" w:styleId="545">
    <w:name w:val="H5 Char Char"/>
    <w:qFormat/>
    <w:uiPriority w:val="99"/>
    <w:rPr>
      <w:rFonts w:ascii="Calibri" w:hAnsi="Calibri" w:eastAsia="宋体"/>
      <w:b/>
      <w:sz w:val="28"/>
    </w:rPr>
  </w:style>
  <w:style w:type="character" w:customStyle="1" w:styleId="546">
    <w:name w:val="a"/>
    <w:basedOn w:val="57"/>
    <w:qFormat/>
    <w:uiPriority w:val="99"/>
    <w:rPr>
      <w:rFonts w:cs="Times New Roman"/>
    </w:rPr>
  </w:style>
  <w:style w:type="character" w:customStyle="1" w:styleId="547">
    <w:name w:val="样式20 Char Char"/>
    <w:qFormat/>
    <w:uiPriority w:val="99"/>
    <w:rPr>
      <w:rFonts w:ascii="Arial" w:hAnsi="Arial"/>
      <w:b/>
      <w:sz w:val="30"/>
    </w:rPr>
  </w:style>
  <w:style w:type="character" w:customStyle="1" w:styleId="548">
    <w:name w:val="图形名称 Char Char"/>
    <w:basedOn w:val="532"/>
    <w:qFormat/>
    <w:uiPriority w:val="99"/>
    <w:rPr>
      <w:rFonts w:ascii="宋体" w:hAnsi="宋体" w:eastAsia="宋体" w:cs="Times New Roman"/>
      <w:kern w:val="2"/>
      <w:sz w:val="21"/>
      <w:szCs w:val="21"/>
      <w:lang w:bidi="ar-SA"/>
    </w:rPr>
  </w:style>
  <w:style w:type="character" w:customStyle="1" w:styleId="549">
    <w:name w:val="1.正文 Char Char"/>
    <w:qFormat/>
    <w:uiPriority w:val="99"/>
    <w:rPr>
      <w:rFonts w:ascii="Tahoma" w:hAnsi="Tahoma" w:eastAsia="宋体"/>
      <w:color w:val="000000"/>
      <w:kern w:val="2"/>
      <w:sz w:val="18"/>
      <w:lang w:val="en-US" w:eastAsia="zh-CN"/>
    </w:rPr>
  </w:style>
  <w:style w:type="character" w:customStyle="1" w:styleId="550">
    <w:name w:val="H1 Char"/>
    <w:qFormat/>
    <w:uiPriority w:val="99"/>
    <w:rPr>
      <w:rFonts w:ascii="宋体" w:hAnsi="宋体" w:eastAsia="宋体"/>
      <w:b/>
      <w:kern w:val="44"/>
      <w:sz w:val="44"/>
      <w:lang w:val="en-US" w:eastAsia="zh-CN"/>
    </w:rPr>
  </w:style>
  <w:style w:type="character" w:customStyle="1" w:styleId="551">
    <w:name w:val="style11"/>
    <w:qFormat/>
    <w:uiPriority w:val="99"/>
    <w:rPr>
      <w:sz w:val="21"/>
    </w:rPr>
  </w:style>
  <w:style w:type="character" w:customStyle="1" w:styleId="552">
    <w:name w:val="txt11"/>
    <w:qFormat/>
    <w:uiPriority w:val="99"/>
    <w:rPr>
      <w:rFonts w:ascii="Arial" w:hAnsi="Arial"/>
      <w:color w:val="000000"/>
      <w:sz w:val="18"/>
    </w:rPr>
  </w:style>
  <w:style w:type="character" w:customStyle="1" w:styleId="553">
    <w:name w:val="Item List Char Char"/>
    <w:qFormat/>
    <w:uiPriority w:val="99"/>
    <w:rPr>
      <w:sz w:val="24"/>
    </w:rPr>
  </w:style>
  <w:style w:type="character" w:customStyle="1" w:styleId="554">
    <w:name w:val="apple-converted-space"/>
    <w:basedOn w:val="57"/>
    <w:qFormat/>
    <w:uiPriority w:val="99"/>
    <w:rPr>
      <w:rFonts w:cs="Times New Roman"/>
    </w:rPr>
  </w:style>
  <w:style w:type="character" w:customStyle="1" w:styleId="555">
    <w:name w:val="biaoti2"/>
    <w:basedOn w:val="57"/>
    <w:qFormat/>
    <w:uiPriority w:val="99"/>
    <w:rPr>
      <w:rFonts w:cs="Times New Roman"/>
    </w:rPr>
  </w:style>
  <w:style w:type="character" w:customStyle="1" w:styleId="556">
    <w:name w:val="pt141"/>
    <w:qFormat/>
    <w:uiPriority w:val="99"/>
    <w:rPr>
      <w:b/>
      <w:color w:val="F3F3F3"/>
      <w:sz w:val="20"/>
    </w:rPr>
  </w:style>
  <w:style w:type="character" w:customStyle="1" w:styleId="557">
    <w:name w:val="labelstyle1"/>
    <w:qFormat/>
    <w:uiPriority w:val="99"/>
    <w:rPr>
      <w:rFonts w:ascii="??" w:hAnsi="??"/>
      <w:color w:val="000000"/>
      <w:sz w:val="20"/>
    </w:rPr>
  </w:style>
  <w:style w:type="character" w:customStyle="1" w:styleId="558">
    <w:name w:val="span_paramvalue"/>
    <w:basedOn w:val="57"/>
    <w:qFormat/>
    <w:uiPriority w:val="99"/>
    <w:rPr>
      <w:rFonts w:cs="Times New Roman"/>
    </w:rPr>
  </w:style>
  <w:style w:type="character" w:customStyle="1" w:styleId="559">
    <w:name w:val="main_text"/>
    <w:basedOn w:val="57"/>
    <w:qFormat/>
    <w:uiPriority w:val="99"/>
    <w:rPr>
      <w:rFonts w:cs="Times New Roman"/>
    </w:rPr>
  </w:style>
  <w:style w:type="character" w:customStyle="1" w:styleId="560">
    <w:name w:val="text_darkgray1"/>
    <w:qFormat/>
    <w:uiPriority w:val="99"/>
    <w:rPr>
      <w:color w:val="000000"/>
      <w:sz w:val="22"/>
    </w:rPr>
  </w:style>
  <w:style w:type="character" w:customStyle="1" w:styleId="561">
    <w:name w:val="dg2"/>
    <w:basedOn w:val="57"/>
    <w:qFormat/>
    <w:uiPriority w:val="99"/>
    <w:rPr>
      <w:rFonts w:cs="Times New Roman"/>
    </w:rPr>
  </w:style>
  <w:style w:type="character" w:customStyle="1" w:styleId="562">
    <w:name w:val="正文文本 3 Char1"/>
    <w:semiHidden/>
    <w:qFormat/>
    <w:uiPriority w:val="99"/>
    <w:rPr>
      <w:rFonts w:ascii="宋体" w:hAnsi="宋体" w:eastAsia="宋体"/>
      <w:kern w:val="2"/>
      <w:sz w:val="16"/>
    </w:rPr>
  </w:style>
  <w:style w:type="character" w:customStyle="1" w:styleId="563">
    <w:name w:val="titleblack14px1"/>
    <w:qFormat/>
    <w:uiPriority w:val="99"/>
    <w:rPr>
      <w:b/>
      <w:color w:val="000000"/>
      <w:sz w:val="21"/>
    </w:rPr>
  </w:style>
  <w:style w:type="character" w:customStyle="1" w:styleId="564">
    <w:name w:val="param-name"/>
    <w:basedOn w:val="57"/>
    <w:qFormat/>
    <w:uiPriority w:val="99"/>
    <w:rPr>
      <w:rFonts w:cs="Times New Roman"/>
    </w:rPr>
  </w:style>
  <w:style w:type="character" w:customStyle="1" w:styleId="565">
    <w:name w:val="font12b21"/>
    <w:qFormat/>
    <w:uiPriority w:val="99"/>
    <w:rPr>
      <w:rFonts w:ascii="Arial" w:hAnsi="Arial"/>
      <w:color w:val="FFFFFF"/>
      <w:sz w:val="18"/>
      <w:u w:val="none"/>
    </w:rPr>
  </w:style>
  <w:style w:type="character" w:customStyle="1" w:styleId="566">
    <w:name w:val="arial1"/>
    <w:qFormat/>
    <w:uiPriority w:val="99"/>
    <w:rPr>
      <w:rFonts w:ascii="Arial" w:hAnsi="Arial"/>
    </w:rPr>
  </w:style>
  <w:style w:type="character" w:customStyle="1" w:styleId="567">
    <w:name w:val="highlight"/>
    <w:basedOn w:val="57"/>
    <w:qFormat/>
    <w:uiPriority w:val="99"/>
    <w:rPr>
      <w:rFonts w:cs="Times New Roman"/>
    </w:rPr>
  </w:style>
  <w:style w:type="character" w:customStyle="1" w:styleId="568">
    <w:name w:val="style21"/>
    <w:qFormat/>
    <w:uiPriority w:val="99"/>
    <w:rPr>
      <w:b/>
      <w:color w:val="044973"/>
    </w:rPr>
  </w:style>
  <w:style w:type="character" w:customStyle="1" w:styleId="569">
    <w:name w:val="h Char1"/>
    <w:qFormat/>
    <w:uiPriority w:val="99"/>
    <w:rPr>
      <w:rFonts w:ascii="宋体" w:hAnsi="宋体" w:eastAsia="宋体"/>
      <w:sz w:val="18"/>
      <w:lang w:val="en-US" w:eastAsia="zh-CN"/>
    </w:rPr>
  </w:style>
  <w:style w:type="character" w:customStyle="1" w:styleId="570">
    <w:name w:val="large1"/>
    <w:qFormat/>
    <w:uiPriority w:val="99"/>
    <w:rPr>
      <w:rFonts w:ascii="宋体" w:hAnsi="宋体" w:eastAsia="宋体"/>
      <w:sz w:val="21"/>
    </w:rPr>
  </w:style>
  <w:style w:type="character" w:customStyle="1" w:styleId="571">
    <w:name w:val="FtrF Char1"/>
    <w:qFormat/>
    <w:uiPriority w:val="99"/>
    <w:rPr>
      <w:rFonts w:ascii="宋体" w:hAnsi="宋体" w:eastAsia="宋体"/>
      <w:sz w:val="18"/>
      <w:lang w:val="en-US" w:eastAsia="zh-CN"/>
    </w:rPr>
  </w:style>
  <w:style w:type="character" w:customStyle="1" w:styleId="572">
    <w:name w:val="注意框体 Char Char"/>
    <w:qFormat/>
    <w:uiPriority w:val="99"/>
    <w:rPr>
      <w:rFonts w:ascii="Arial" w:hAnsi="Arial" w:eastAsia="黑体"/>
      <w:kern w:val="0"/>
      <w:sz w:val="20"/>
    </w:rPr>
  </w:style>
  <w:style w:type="character" w:customStyle="1" w:styleId="573">
    <w:name w:val="arr1"/>
    <w:basedOn w:val="57"/>
    <w:qFormat/>
    <w:uiPriority w:val="99"/>
    <w:rPr>
      <w:rFonts w:cs="Times New Roman"/>
    </w:rPr>
  </w:style>
  <w:style w:type="character" w:customStyle="1" w:styleId="574">
    <w:name w:val="cnfont1"/>
    <w:basedOn w:val="57"/>
    <w:qFormat/>
    <w:uiPriority w:val="99"/>
    <w:rPr>
      <w:rFonts w:cs="Times New Roman"/>
    </w:rPr>
  </w:style>
  <w:style w:type="character" w:customStyle="1" w:styleId="575">
    <w:name w:val="页眉 Char1"/>
    <w:link w:val="34"/>
    <w:qFormat/>
    <w:locked/>
    <w:uiPriority w:val="99"/>
    <w:rPr>
      <w:rFonts w:ascii="Times New Roman" w:hAnsi="Times New Roman" w:eastAsia="宋体"/>
      <w:kern w:val="0"/>
      <w:sz w:val="20"/>
    </w:rPr>
  </w:style>
  <w:style w:type="character" w:customStyle="1" w:styleId="576">
    <w:name w:val="PIM 7 Char"/>
    <w:qFormat/>
    <w:uiPriority w:val="99"/>
    <w:rPr>
      <w:rFonts w:ascii="宋体" w:hAnsi="宋体" w:eastAsia="宋体"/>
      <w:b/>
      <w:snapToGrid w:val="0"/>
      <w:color w:val="000000"/>
      <w:sz w:val="24"/>
      <w:lang w:val="en-US" w:eastAsia="zh-CN"/>
    </w:rPr>
  </w:style>
  <w:style w:type="character" w:customStyle="1" w:styleId="577">
    <w:name w:val="param_td12"/>
    <w:basedOn w:val="57"/>
    <w:qFormat/>
    <w:uiPriority w:val="99"/>
    <w:rPr>
      <w:rFonts w:cs="Times New Roman"/>
    </w:rPr>
  </w:style>
  <w:style w:type="character" w:customStyle="1" w:styleId="578">
    <w:name w:val="style111"/>
    <w:qFormat/>
    <w:uiPriority w:val="99"/>
    <w:rPr>
      <w:sz w:val="27"/>
    </w:rPr>
  </w:style>
  <w:style w:type="character" w:customStyle="1" w:styleId="579">
    <w:name w:val="marklong"/>
    <w:basedOn w:val="57"/>
    <w:qFormat/>
    <w:uiPriority w:val="99"/>
    <w:rPr>
      <w:rFonts w:cs="Times New Roman"/>
    </w:rPr>
  </w:style>
  <w:style w:type="character" w:customStyle="1" w:styleId="580">
    <w:name w:val="2nd level Char"/>
    <w:qFormat/>
    <w:uiPriority w:val="99"/>
    <w:rPr>
      <w:rFonts w:ascii="Arial" w:hAnsi="Arial" w:eastAsia="黑体"/>
      <w:b/>
      <w:kern w:val="2"/>
      <w:sz w:val="32"/>
      <w:lang w:val="en-US" w:eastAsia="zh-CN"/>
    </w:rPr>
  </w:style>
  <w:style w:type="character" w:customStyle="1" w:styleId="581">
    <w:name w:val="标题 3 Char Char"/>
    <w:qFormat/>
    <w:uiPriority w:val="99"/>
    <w:rPr>
      <w:rFonts w:ascii="宋体" w:hAnsi="宋体" w:eastAsia="宋体"/>
      <w:b/>
      <w:kern w:val="2"/>
      <w:sz w:val="32"/>
      <w:lang w:val="en-US" w:eastAsia="zh-CN"/>
    </w:rPr>
  </w:style>
  <w:style w:type="character" w:customStyle="1" w:styleId="582">
    <w:name w:val="正文首行缩进2字 Char Char"/>
    <w:qFormat/>
    <w:uiPriority w:val="99"/>
    <w:rPr>
      <w:rFonts w:ascii="楷体_GB2312" w:eastAsia="楷体_GB2312"/>
      <w:sz w:val="28"/>
      <w:lang w:val="en-US" w:eastAsia="zh-CN"/>
    </w:rPr>
  </w:style>
  <w:style w:type="character" w:customStyle="1" w:styleId="583">
    <w:name w:val="正文（绿盟科技） Char Char"/>
    <w:qFormat/>
    <w:uiPriority w:val="99"/>
    <w:rPr>
      <w:kern w:val="2"/>
      <w:sz w:val="21"/>
      <w:lang w:val="en-US" w:eastAsia="zh-CN"/>
    </w:rPr>
  </w:style>
  <w:style w:type="character" w:customStyle="1" w:styleId="584">
    <w:name w:val="样式23 Char Char"/>
    <w:qFormat/>
    <w:uiPriority w:val="99"/>
    <w:rPr>
      <w:rFonts w:ascii="Arial" w:hAnsi="Arial" w:eastAsia="黑体"/>
      <w:b/>
      <w:sz w:val="30"/>
    </w:rPr>
  </w:style>
  <w:style w:type="character" w:customStyle="1" w:styleId="585">
    <w:name w:val="样式4 Char Char Char"/>
    <w:qFormat/>
    <w:uiPriority w:val="99"/>
    <w:rPr>
      <w:color w:val="000000"/>
      <w:sz w:val="24"/>
    </w:rPr>
  </w:style>
  <w:style w:type="character" w:customStyle="1" w:styleId="586">
    <w:name w:val="正文文本缩进 Char1"/>
    <w:semiHidden/>
    <w:qFormat/>
    <w:uiPriority w:val="99"/>
    <w:rPr>
      <w:rFonts w:ascii="宋体" w:hAnsi="宋体" w:eastAsia="宋体"/>
      <w:kern w:val="2"/>
      <w:sz w:val="24"/>
    </w:rPr>
  </w:style>
  <w:style w:type="character" w:customStyle="1" w:styleId="587">
    <w:name w:val="正文首行缩进 Char1"/>
    <w:semiHidden/>
    <w:qFormat/>
    <w:uiPriority w:val="99"/>
  </w:style>
  <w:style w:type="character" w:customStyle="1" w:styleId="588">
    <w:name w:val="批注框文本 Char1"/>
    <w:semiHidden/>
    <w:qFormat/>
    <w:uiPriority w:val="99"/>
    <w:rPr>
      <w:rFonts w:ascii="宋体" w:hAnsi="宋体" w:eastAsia="宋体"/>
      <w:kern w:val="2"/>
      <w:sz w:val="18"/>
    </w:rPr>
  </w:style>
  <w:style w:type="character" w:customStyle="1" w:styleId="589">
    <w:name w:val="文档结构图 Char1"/>
    <w:semiHidden/>
    <w:qFormat/>
    <w:uiPriority w:val="99"/>
    <w:rPr>
      <w:rFonts w:ascii="宋体" w:hAnsi="宋体" w:eastAsia="宋体"/>
      <w:kern w:val="2"/>
      <w:sz w:val="18"/>
    </w:rPr>
  </w:style>
  <w:style w:type="character" w:customStyle="1" w:styleId="590">
    <w:name w:val="日期 Char1"/>
    <w:semiHidden/>
    <w:qFormat/>
    <w:uiPriority w:val="99"/>
    <w:rPr>
      <w:rFonts w:ascii="宋体" w:hAnsi="宋体" w:eastAsia="宋体"/>
      <w:kern w:val="2"/>
      <w:sz w:val="24"/>
    </w:rPr>
  </w:style>
  <w:style w:type="character" w:customStyle="1" w:styleId="591">
    <w:name w:val="标题 Char1"/>
    <w:qFormat/>
    <w:uiPriority w:val="99"/>
    <w:rPr>
      <w:rFonts w:ascii="Cambria" w:hAnsi="Cambria"/>
      <w:b/>
      <w:kern w:val="2"/>
      <w:sz w:val="32"/>
    </w:rPr>
  </w:style>
  <w:style w:type="character" w:customStyle="1" w:styleId="592">
    <w:name w:val="文档结构图 Char2"/>
    <w:basedOn w:val="57"/>
    <w:semiHidden/>
    <w:qFormat/>
    <w:uiPriority w:val="99"/>
    <w:rPr>
      <w:rFonts w:ascii="Microsoft YaHei UI" w:hAnsi="Microsoft YaHei UI" w:eastAsia="Microsoft YaHei UI" w:cs="Times New Roman"/>
      <w:sz w:val="18"/>
      <w:szCs w:val="18"/>
    </w:rPr>
  </w:style>
  <w:style w:type="character" w:customStyle="1" w:styleId="593">
    <w:name w:val="正文文本缩进 3 Char2"/>
    <w:basedOn w:val="57"/>
    <w:semiHidden/>
    <w:qFormat/>
    <w:uiPriority w:val="99"/>
    <w:rPr>
      <w:rFonts w:cs="Times New Roman"/>
      <w:sz w:val="16"/>
      <w:szCs w:val="16"/>
    </w:rPr>
  </w:style>
  <w:style w:type="character" w:customStyle="1" w:styleId="594">
    <w:name w:val="批注框文本 Char2"/>
    <w:basedOn w:val="57"/>
    <w:semiHidden/>
    <w:qFormat/>
    <w:uiPriority w:val="99"/>
    <w:rPr>
      <w:rFonts w:cs="Times New Roman"/>
      <w:sz w:val="18"/>
      <w:szCs w:val="18"/>
    </w:rPr>
  </w:style>
  <w:style w:type="character" w:customStyle="1" w:styleId="595">
    <w:name w:val="日期 Char2"/>
    <w:basedOn w:val="57"/>
    <w:semiHidden/>
    <w:qFormat/>
    <w:uiPriority w:val="99"/>
    <w:rPr>
      <w:rFonts w:cs="Times New Roman"/>
      <w:sz w:val="21"/>
    </w:rPr>
  </w:style>
  <w:style w:type="character" w:customStyle="1" w:styleId="596">
    <w:name w:val="正文文本 Char1"/>
    <w:basedOn w:val="57"/>
    <w:semiHidden/>
    <w:qFormat/>
    <w:uiPriority w:val="99"/>
    <w:rPr>
      <w:rFonts w:cs="Times New Roman"/>
      <w:sz w:val="21"/>
    </w:rPr>
  </w:style>
  <w:style w:type="character" w:customStyle="1" w:styleId="597">
    <w:name w:val="标题 Char2"/>
    <w:basedOn w:val="57"/>
    <w:qFormat/>
    <w:uiPriority w:val="99"/>
    <w:rPr>
      <w:rFonts w:ascii="Calibri Light" w:hAnsi="Calibri Light" w:cs="Times New Roman"/>
      <w:b/>
      <w:bCs/>
      <w:sz w:val="32"/>
      <w:szCs w:val="32"/>
    </w:rPr>
  </w:style>
  <w:style w:type="character" w:customStyle="1" w:styleId="598">
    <w:name w:val="正文首行缩进 Char2"/>
    <w:basedOn w:val="596"/>
    <w:semiHidden/>
    <w:qFormat/>
    <w:uiPriority w:val="99"/>
    <w:rPr>
      <w:rFonts w:cs="Times New Roman"/>
      <w:sz w:val="21"/>
    </w:rPr>
  </w:style>
  <w:style w:type="character" w:customStyle="1" w:styleId="599">
    <w:name w:val="批注文字 Char2"/>
    <w:basedOn w:val="57"/>
    <w:semiHidden/>
    <w:qFormat/>
    <w:uiPriority w:val="99"/>
    <w:rPr>
      <w:rFonts w:cs="Times New Roman"/>
      <w:sz w:val="21"/>
    </w:rPr>
  </w:style>
  <w:style w:type="character" w:customStyle="1" w:styleId="600">
    <w:name w:val="正文文本 2 Char1"/>
    <w:basedOn w:val="57"/>
    <w:semiHidden/>
    <w:qFormat/>
    <w:uiPriority w:val="99"/>
    <w:rPr>
      <w:rFonts w:cs="Times New Roman"/>
      <w:sz w:val="21"/>
    </w:rPr>
  </w:style>
  <w:style w:type="character" w:customStyle="1" w:styleId="601">
    <w:name w:val="脚注文本 Char2"/>
    <w:basedOn w:val="57"/>
    <w:semiHidden/>
    <w:qFormat/>
    <w:uiPriority w:val="99"/>
    <w:rPr>
      <w:rFonts w:cs="Times New Roman"/>
      <w:sz w:val="18"/>
      <w:szCs w:val="18"/>
    </w:rPr>
  </w:style>
  <w:style w:type="character" w:customStyle="1" w:styleId="602">
    <w:name w:val="正文文本缩进 2 Char1"/>
    <w:basedOn w:val="57"/>
    <w:semiHidden/>
    <w:qFormat/>
    <w:uiPriority w:val="99"/>
    <w:rPr>
      <w:rFonts w:cs="Times New Roman"/>
      <w:sz w:val="21"/>
    </w:rPr>
  </w:style>
  <w:style w:type="character" w:customStyle="1" w:styleId="603">
    <w:name w:val="正文文本 3 Char2"/>
    <w:basedOn w:val="57"/>
    <w:semiHidden/>
    <w:qFormat/>
    <w:uiPriority w:val="99"/>
    <w:rPr>
      <w:rFonts w:cs="Times New Roman"/>
      <w:sz w:val="16"/>
      <w:szCs w:val="16"/>
    </w:rPr>
  </w:style>
  <w:style w:type="character" w:customStyle="1" w:styleId="604">
    <w:name w:val="页眉 Char2"/>
    <w:basedOn w:val="57"/>
    <w:semiHidden/>
    <w:qFormat/>
    <w:uiPriority w:val="99"/>
    <w:rPr>
      <w:rFonts w:cs="Times New Roman"/>
      <w:sz w:val="18"/>
      <w:szCs w:val="18"/>
    </w:rPr>
  </w:style>
  <w:style w:type="character" w:customStyle="1" w:styleId="605">
    <w:name w:val="批注主题 Char2"/>
    <w:basedOn w:val="599"/>
    <w:semiHidden/>
    <w:qFormat/>
    <w:uiPriority w:val="99"/>
    <w:rPr>
      <w:rFonts w:cs="Times New Roman"/>
      <w:b/>
      <w:bCs/>
      <w:sz w:val="21"/>
    </w:rPr>
  </w:style>
  <w:style w:type="character" w:customStyle="1" w:styleId="606">
    <w:name w:val="纯文本 Char3"/>
    <w:basedOn w:val="57"/>
    <w:semiHidden/>
    <w:qFormat/>
    <w:uiPriority w:val="99"/>
    <w:rPr>
      <w:rFonts w:ascii="宋体" w:hAnsi="Courier New" w:eastAsia="宋体" w:cs="Courier New"/>
      <w:sz w:val="21"/>
      <w:szCs w:val="21"/>
    </w:rPr>
  </w:style>
  <w:style w:type="character" w:customStyle="1" w:styleId="607">
    <w:name w:val="页脚 Char2"/>
    <w:basedOn w:val="57"/>
    <w:semiHidden/>
    <w:qFormat/>
    <w:uiPriority w:val="99"/>
    <w:rPr>
      <w:rFonts w:cs="Times New Roman"/>
      <w:sz w:val="18"/>
      <w:szCs w:val="18"/>
    </w:rPr>
  </w:style>
  <w:style w:type="character" w:customStyle="1" w:styleId="608">
    <w:name w:val="尾注文本 Char2"/>
    <w:basedOn w:val="57"/>
    <w:semiHidden/>
    <w:qFormat/>
    <w:uiPriority w:val="99"/>
    <w:rPr>
      <w:rFonts w:cs="Times New Roman"/>
      <w:sz w:val="21"/>
    </w:rPr>
  </w:style>
  <w:style w:type="character" w:customStyle="1" w:styleId="609">
    <w:name w:val="Char Char28"/>
    <w:qFormat/>
    <w:uiPriority w:val="99"/>
    <w:rPr>
      <w:rFonts w:ascii="宋体" w:hAnsi="宋体" w:eastAsia="宋体"/>
      <w:kern w:val="2"/>
      <w:sz w:val="24"/>
      <w:lang w:val="en-US" w:eastAsia="zh-CN"/>
    </w:rPr>
  </w:style>
  <w:style w:type="character" w:customStyle="1" w:styleId="610">
    <w:name w:val="表正文 Char1"/>
    <w:qFormat/>
    <w:locked/>
    <w:uiPriority w:val="99"/>
    <w:rPr>
      <w:rFonts w:ascii="宋体" w:hAnsi="宋体" w:eastAsia="宋体"/>
      <w:sz w:val="21"/>
      <w:lang w:val="en-US" w:eastAsia="zh-CN"/>
    </w:rPr>
  </w:style>
  <w:style w:type="table" w:customStyle="1" w:styleId="611">
    <w:name w:val="网格型1"/>
    <w:qFormat/>
    <w:uiPriority w:val="9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12">
    <w:name w:val="标题 4 宋体"/>
    <w:basedOn w:val="447"/>
    <w:qFormat/>
    <w:uiPriority w:val="99"/>
    <w:pPr>
      <w:tabs>
        <w:tab w:val="clear" w:pos="1440"/>
      </w:tabs>
    </w:pPr>
    <w:rPr>
      <w:rFonts w:ascii="宋体" w:hAnsi="宋体" w:eastAsia="宋体"/>
      <w:b/>
      <w:bCs/>
      <w:kern w:val="2"/>
      <w:sz w:val="22"/>
    </w:rPr>
  </w:style>
  <w:style w:type="paragraph" w:customStyle="1" w:styleId="613">
    <w:name w:val="样式 表格名称 + 两端对齐"/>
    <w:basedOn w:val="295"/>
    <w:qFormat/>
    <w:uiPriority w:val="99"/>
    <w:pPr>
      <w:numPr>
        <w:numId w:val="0"/>
      </w:numPr>
      <w:ind w:left="984" w:hanging="420"/>
      <w:jc w:val="both"/>
    </w:pPr>
    <w:rPr>
      <w:rFonts w:cs="宋体"/>
      <w:bCs/>
      <w:szCs w:val="20"/>
    </w:rPr>
  </w:style>
  <w:style w:type="paragraph" w:customStyle="1" w:styleId="614">
    <w:name w:val="书籍标题4"/>
    <w:basedOn w:val="349"/>
    <w:next w:val="1"/>
    <w:qFormat/>
    <w:uiPriority w:val="99"/>
    <w:pPr>
      <w:tabs>
        <w:tab w:val="left" w:pos="1680"/>
        <w:tab w:val="clear" w:pos="1260"/>
      </w:tabs>
      <w:spacing w:beforeLines="0" w:afterLines="0"/>
      <w:ind w:left="1680"/>
      <w:outlineLvl w:val="3"/>
    </w:pPr>
    <w:rPr>
      <w:sz w:val="24"/>
      <w:szCs w:val="24"/>
      <w:lang w:val="zh-CN"/>
    </w:rPr>
  </w:style>
  <w:style w:type="paragraph" w:customStyle="1" w:styleId="615">
    <w:name w:val="一级条标题"/>
    <w:basedOn w:val="285"/>
    <w:next w:val="7"/>
    <w:qFormat/>
    <w:uiPriority w:val="99"/>
    <w:pPr>
      <w:spacing w:beforeLines="0" w:afterLines="0"/>
      <w:ind w:left="0"/>
      <w:outlineLvl w:val="2"/>
    </w:pPr>
  </w:style>
  <w:style w:type="paragraph" w:customStyle="1" w:styleId="616">
    <w:name w:val="二级条标题"/>
    <w:basedOn w:val="615"/>
    <w:next w:val="7"/>
    <w:qFormat/>
    <w:uiPriority w:val="99"/>
    <w:pPr>
      <w:ind w:left="540"/>
      <w:outlineLvl w:val="3"/>
    </w:pPr>
  </w:style>
  <w:style w:type="paragraph" w:customStyle="1" w:styleId="617">
    <w:name w:val="三级条标题"/>
    <w:basedOn w:val="616"/>
    <w:next w:val="7"/>
    <w:qFormat/>
    <w:uiPriority w:val="99"/>
    <w:pPr>
      <w:ind w:left="0"/>
      <w:outlineLvl w:val="4"/>
    </w:pPr>
  </w:style>
  <w:style w:type="paragraph" w:customStyle="1" w:styleId="618">
    <w:name w:val="四级条标题"/>
    <w:basedOn w:val="617"/>
    <w:next w:val="7"/>
    <w:qFormat/>
    <w:uiPriority w:val="99"/>
    <w:pPr>
      <w:outlineLvl w:val="5"/>
    </w:pPr>
  </w:style>
  <w:style w:type="character" w:customStyle="1" w:styleId="619">
    <w:name w:val="font91"/>
    <w:basedOn w:val="57"/>
    <w:qFormat/>
    <w:uiPriority w:val="0"/>
    <w:rPr>
      <w:rFonts w:hint="default" w:ascii="Times New Roman" w:hAnsi="Times New Roman" w:cs="Times New Roman"/>
      <w:b/>
      <w:color w:val="000000"/>
      <w:sz w:val="48"/>
      <w:szCs w:val="48"/>
      <w:u w:val="none"/>
    </w:rPr>
  </w:style>
  <w:style w:type="character" w:customStyle="1" w:styleId="620">
    <w:name w:val="font171"/>
    <w:basedOn w:val="57"/>
    <w:qFormat/>
    <w:uiPriority w:val="0"/>
    <w:rPr>
      <w:rFonts w:hint="eastAsia" w:ascii="宋体" w:hAnsi="宋体" w:eastAsia="宋体" w:cs="宋体"/>
      <w:b/>
      <w:color w:val="000000"/>
      <w:sz w:val="48"/>
      <w:szCs w:val="48"/>
      <w:u w:val="none"/>
    </w:rPr>
  </w:style>
  <w:style w:type="character" w:customStyle="1" w:styleId="621">
    <w:name w:val="font01"/>
    <w:basedOn w:val="57"/>
    <w:qFormat/>
    <w:uiPriority w:val="0"/>
    <w:rPr>
      <w:rFonts w:hint="eastAsia" w:ascii="宋体" w:hAnsi="宋体" w:eastAsia="宋体" w:cs="宋体"/>
      <w:b/>
      <w:color w:val="000000"/>
      <w:sz w:val="44"/>
      <w:szCs w:val="44"/>
      <w:u w:val="none"/>
      <w:vertAlign w:val="superscript"/>
    </w:rPr>
  </w:style>
  <w:style w:type="character" w:customStyle="1" w:styleId="622">
    <w:name w:val="font211"/>
    <w:basedOn w:val="57"/>
    <w:qFormat/>
    <w:uiPriority w:val="0"/>
    <w:rPr>
      <w:rFonts w:hint="eastAsia" w:ascii="宋体" w:hAnsi="宋体" w:eastAsia="宋体" w:cs="宋体"/>
      <w:b/>
      <w:color w:val="000000"/>
      <w:sz w:val="44"/>
      <w:szCs w:val="44"/>
      <w:u w:val="none"/>
    </w:rPr>
  </w:style>
  <w:style w:type="character" w:customStyle="1" w:styleId="623">
    <w:name w:val="font241"/>
    <w:basedOn w:val="57"/>
    <w:qFormat/>
    <w:uiPriority w:val="0"/>
    <w:rPr>
      <w:rFonts w:hint="eastAsia" w:ascii="宋体" w:hAnsi="宋体" w:eastAsia="宋体" w:cs="宋体"/>
      <w:color w:val="000000"/>
      <w:sz w:val="44"/>
      <w:szCs w:val="44"/>
      <w:u w:val="none"/>
      <w:vertAlign w:val="superscript"/>
    </w:rPr>
  </w:style>
  <w:style w:type="character" w:customStyle="1" w:styleId="624">
    <w:name w:val="font231"/>
    <w:basedOn w:val="57"/>
    <w:qFormat/>
    <w:uiPriority w:val="0"/>
    <w:rPr>
      <w:rFonts w:hint="eastAsia" w:ascii="宋体" w:hAnsi="宋体" w:eastAsia="宋体" w:cs="宋体"/>
      <w:color w:val="000000"/>
      <w:sz w:val="44"/>
      <w:szCs w:val="44"/>
      <w:u w:val="none"/>
    </w:rPr>
  </w:style>
  <w:style w:type="character" w:customStyle="1" w:styleId="625">
    <w:name w:val="font222"/>
    <w:basedOn w:val="57"/>
    <w:qFormat/>
    <w:uiPriority w:val="0"/>
    <w:rPr>
      <w:rFonts w:hint="eastAsia" w:ascii="宋体" w:hAnsi="宋体" w:eastAsia="宋体" w:cs="宋体"/>
      <w:color w:val="000000"/>
      <w:sz w:val="40"/>
      <w:szCs w:val="40"/>
      <w:u w:val="none"/>
      <w:vertAlign w:val="superscript"/>
    </w:rPr>
  </w:style>
  <w:style w:type="character" w:customStyle="1" w:styleId="626">
    <w:name w:val="font201"/>
    <w:basedOn w:val="57"/>
    <w:qFormat/>
    <w:uiPriority w:val="0"/>
    <w:rPr>
      <w:rFonts w:hint="eastAsia" w:ascii="宋体" w:hAnsi="宋体" w:eastAsia="宋体" w:cs="宋体"/>
      <w:color w:val="000000"/>
      <w:sz w:val="40"/>
      <w:szCs w:val="40"/>
      <w:u w:val="none"/>
    </w:rPr>
  </w:style>
  <w:style w:type="character" w:customStyle="1" w:styleId="627">
    <w:name w:val="font121"/>
    <w:basedOn w:val="57"/>
    <w:qFormat/>
    <w:uiPriority w:val="0"/>
    <w:rPr>
      <w:rFonts w:hint="eastAsia" w:ascii="宋体" w:hAnsi="宋体" w:eastAsia="宋体" w:cs="宋体"/>
      <w:b/>
      <w:color w:val="000000"/>
      <w:sz w:val="56"/>
      <w:szCs w:val="56"/>
      <w:u w:val="none"/>
    </w:rPr>
  </w:style>
  <w:style w:type="paragraph" w:customStyle="1" w:styleId="628">
    <w:name w:val="纯文本2"/>
    <w:basedOn w:val="1"/>
    <w:qFormat/>
    <w:uiPriority w:val="0"/>
    <w:pPr>
      <w:widowControl w:val="0"/>
      <w:jc w:val="both"/>
    </w:pPr>
    <w:rPr>
      <w:rFonts w:ascii="宋体" w:hAnsi="Courier New"/>
    </w:rPr>
  </w:style>
  <w:style w:type="character" w:customStyle="1" w:styleId="629">
    <w:name w:val="font61"/>
    <w:basedOn w:val="57"/>
    <w:qFormat/>
    <w:uiPriority w:val="0"/>
    <w:rPr>
      <w:rFonts w:hint="default" w:ascii="仿宋_GB2312" w:eastAsia="仿宋_GB2312" w:cs="仿宋_GB2312"/>
      <w:color w:val="00B0F0"/>
      <w:sz w:val="20"/>
      <w:szCs w:val="20"/>
      <w:u w:val="none"/>
    </w:rPr>
  </w:style>
  <w:style w:type="character" w:customStyle="1" w:styleId="630">
    <w:name w:val="font51"/>
    <w:basedOn w:val="57"/>
    <w:qFormat/>
    <w:uiPriority w:val="0"/>
    <w:rPr>
      <w:rFonts w:hint="default" w:ascii="仿宋_GB2312" w:eastAsia="仿宋_GB2312" w:cs="仿宋_GB2312"/>
      <w:color w:val="000000"/>
      <w:sz w:val="20"/>
      <w:szCs w:val="20"/>
      <w:u w:val="none"/>
    </w:rPr>
  </w:style>
  <w:style w:type="character" w:customStyle="1" w:styleId="631">
    <w:name w:val="font81"/>
    <w:basedOn w:val="57"/>
    <w:qFormat/>
    <w:uiPriority w:val="0"/>
    <w:rPr>
      <w:rFonts w:hint="eastAsia" w:ascii="宋体" w:hAnsi="宋体" w:eastAsia="宋体" w:cs="宋体"/>
      <w:color w:val="000000"/>
      <w:sz w:val="20"/>
      <w:szCs w:val="20"/>
      <w:u w:val="none"/>
    </w:rPr>
  </w:style>
  <w:style w:type="character" w:customStyle="1" w:styleId="632">
    <w:name w:val="font41"/>
    <w:basedOn w:val="57"/>
    <w:qFormat/>
    <w:uiPriority w:val="0"/>
    <w:rPr>
      <w:rFonts w:hint="default" w:ascii="仿宋_GB2312" w:eastAsia="仿宋_GB2312" w:cs="仿宋_GB2312"/>
      <w:color w:val="FF0000"/>
      <w:sz w:val="20"/>
      <w:szCs w:val="20"/>
      <w:u w:val="none"/>
    </w:rPr>
  </w:style>
  <w:style w:type="character" w:customStyle="1" w:styleId="633">
    <w:name w:val="font101"/>
    <w:basedOn w:val="57"/>
    <w:qFormat/>
    <w:uiPriority w:val="0"/>
    <w:rPr>
      <w:rFonts w:hint="default" w:ascii="仿宋_GB2312" w:eastAsia="仿宋_GB2312" w:cs="仿宋_GB2312"/>
      <w:color w:val="FF0000"/>
      <w:sz w:val="22"/>
      <w:szCs w:val="22"/>
      <w:u w:val="none"/>
    </w:rPr>
  </w:style>
  <w:style w:type="character" w:customStyle="1" w:styleId="634">
    <w:name w:val="font111"/>
    <w:basedOn w:val="57"/>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3939DA-9D58-4385-9675-D123228C9D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6772</Words>
  <Characters>38602</Characters>
  <Lines>321</Lines>
  <Paragraphs>90</Paragraphs>
  <TotalTime>17</TotalTime>
  <ScaleCrop>false</ScaleCrop>
  <LinksUpToDate>false</LinksUpToDate>
  <CharactersWithSpaces>45284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2019-06-03T07:15:00Z</dcterms:created>
  <dc:creator>liukai</dc:creator>
  <cp:lastModifiedBy>“东”141319</cp:lastModifiedBy>
  <cp:lastPrinted>2019-06-24T07:58:00Z</cp:lastPrinted>
  <dcterms:modified xsi:type="dcterms:W3CDTF">2019-08-22T06:36:58Z</dcterms:modified>
  <dc:title>中山市政府采购项目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